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C7353" w:rsidRDefault="00DF2296" w:rsidP="002577AA">
      <w:pPr>
        <w:jc w:val="both"/>
        <w:rPr>
          <w:rFonts w:ascii="Times New Roman" w:eastAsia="Times New Roman" w:hAnsi="Times New Roman" w:cs="Times New Roman"/>
          <w:b/>
          <w:i/>
          <w:iCs/>
          <w:color w:val="000000"/>
        </w:rPr>
      </w:pPr>
      <w:r w:rsidRPr="005F7ED7">
        <w:rPr>
          <w:rFonts w:ascii="Times New Roman" w:hAnsi="Times New Roman" w:cs="Times New Roman"/>
          <w:b/>
          <w:bCs/>
        </w:rPr>
        <w:t>Załącznik do dokumentacji projektowej</w:t>
      </w:r>
      <w:r w:rsidRPr="005F7ED7">
        <w:rPr>
          <w:rFonts w:ascii="Times New Roman" w:hAnsi="Times New Roman" w:cs="Times New Roman"/>
        </w:rPr>
        <w:t xml:space="preserve"> </w:t>
      </w:r>
      <w:r w:rsidRPr="005F7ED7">
        <w:rPr>
          <w:rFonts w:ascii="Times New Roman" w:eastAsia="Times New Roman" w:hAnsi="Times New Roman" w:cs="Times New Roman"/>
          <w:b/>
          <w:i/>
          <w:iCs/>
          <w:color w:val="000000"/>
        </w:rPr>
        <w:t>„Budowa sieci kanalizacji sanitarnej grawitacyjno</w:t>
      </w:r>
      <w:r w:rsidR="005F7ED7">
        <w:rPr>
          <w:rFonts w:ascii="Times New Roman" w:eastAsia="Times New Roman" w:hAnsi="Times New Roman" w:cs="Times New Roman"/>
          <w:b/>
          <w:i/>
          <w:iCs/>
          <w:color w:val="000000"/>
        </w:rPr>
        <w:t>-</w:t>
      </w:r>
      <w:r w:rsidRPr="005F7ED7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tłocznej wraz z </w:t>
      </w:r>
      <w:proofErr w:type="spellStart"/>
      <w:r w:rsidR="005F7ED7">
        <w:rPr>
          <w:rFonts w:ascii="Times New Roman" w:eastAsia="Times New Roman" w:hAnsi="Times New Roman" w:cs="Times New Roman"/>
          <w:b/>
          <w:i/>
          <w:iCs/>
          <w:color w:val="000000"/>
        </w:rPr>
        <w:t>odgałęzieniami</w:t>
      </w:r>
      <w:proofErr w:type="spellEnd"/>
      <w:r w:rsidRPr="005F7ED7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bocznymi do przył</w:t>
      </w:r>
      <w:r w:rsidR="005F7ED7">
        <w:rPr>
          <w:rFonts w:ascii="Times New Roman" w:eastAsia="Times New Roman" w:hAnsi="Times New Roman" w:cs="Times New Roman"/>
          <w:b/>
          <w:i/>
          <w:iCs/>
          <w:color w:val="000000"/>
        </w:rPr>
        <w:t>ą</w:t>
      </w:r>
      <w:r w:rsidRPr="005F7ED7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czy oraz pompowniami </w:t>
      </w:r>
      <w:r w:rsidR="005F7ED7">
        <w:rPr>
          <w:rFonts w:ascii="Times New Roman" w:eastAsia="Times New Roman" w:hAnsi="Times New Roman" w:cs="Times New Roman"/>
          <w:b/>
          <w:i/>
          <w:iCs/>
          <w:color w:val="000000"/>
        </w:rPr>
        <w:t>ś</w:t>
      </w:r>
      <w:r w:rsidRPr="005F7ED7">
        <w:rPr>
          <w:rFonts w:ascii="Times New Roman" w:eastAsia="Times New Roman" w:hAnsi="Times New Roman" w:cs="Times New Roman"/>
          <w:b/>
          <w:i/>
          <w:iCs/>
          <w:color w:val="000000"/>
        </w:rPr>
        <w:t>cieków</w:t>
      </w:r>
      <w:r w:rsidR="005F7ED7">
        <w:rPr>
          <w:rFonts w:ascii="Times New Roman" w:eastAsia="Times New Roman" w:hAnsi="Times New Roman" w:cs="Times New Roman"/>
          <w:b/>
          <w:i/>
          <w:iCs/>
          <w:color w:val="000000"/>
        </w:rPr>
        <w:t>”</w:t>
      </w:r>
    </w:p>
    <w:p w:rsidR="005F7ED7" w:rsidRPr="005F7ED7" w:rsidRDefault="005F7ED7" w:rsidP="002577AA">
      <w:pPr>
        <w:jc w:val="both"/>
        <w:rPr>
          <w:rFonts w:ascii="Times New Roman" w:hAnsi="Times New Roman" w:cs="Times New Roman"/>
          <w:lang w:eastAsia="pl-PL"/>
        </w:rPr>
      </w:pPr>
    </w:p>
    <w:p w:rsidR="003C7353" w:rsidRPr="005F7ED7" w:rsidRDefault="00DF2296" w:rsidP="005F7ED7">
      <w:pPr>
        <w:jc w:val="both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ab/>
        <w:t xml:space="preserve">W odniesieniu do </w:t>
      </w:r>
      <w:r w:rsidR="005F7ED7" w:rsidRPr="005F7ED7">
        <w:rPr>
          <w:rFonts w:ascii="Times New Roman" w:hAnsi="Times New Roman" w:cs="Times New Roman"/>
        </w:rPr>
        <w:t>dokumentacji projektowej</w:t>
      </w:r>
      <w:r w:rsidRPr="005F7ED7">
        <w:rPr>
          <w:rFonts w:ascii="Times New Roman" w:hAnsi="Times New Roman" w:cs="Times New Roman"/>
        </w:rPr>
        <w:t xml:space="preserve"> na budowę sieci kanalizacji sanitarnej </w:t>
      </w:r>
      <w:r w:rsidR="005F7ED7" w:rsidRPr="005F7ED7">
        <w:rPr>
          <w:rFonts w:ascii="Times New Roman" w:hAnsi="Times New Roman" w:cs="Times New Roman"/>
        </w:rPr>
        <w:t xml:space="preserve">w </w:t>
      </w:r>
      <w:r w:rsidRPr="005F7ED7">
        <w:rPr>
          <w:rFonts w:ascii="Times New Roman" w:hAnsi="Times New Roman" w:cs="Times New Roman"/>
        </w:rPr>
        <w:t>miejscowości Sadurki -  Zamawiający wyjaśnia, że projekt techniczny został wykonany w oparciu o</w:t>
      </w:r>
    </w:p>
    <w:p w:rsidR="003C7353" w:rsidRPr="005F7ED7" w:rsidRDefault="00DF2296" w:rsidP="005F7ED7">
      <w:pPr>
        <w:jc w:val="both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materiały referencyjne. Zamawiający nie nakłada ograniczeń na zastosowanie innych materiałów niż wskazane w projekcie technicznym.</w:t>
      </w:r>
    </w:p>
    <w:p w:rsidR="003C7353" w:rsidRPr="005F7ED7" w:rsidRDefault="00DF2296" w:rsidP="005F7ED7">
      <w:pPr>
        <w:jc w:val="both"/>
        <w:rPr>
          <w:rFonts w:ascii="Times New Roman" w:hAnsi="Times New Roman" w:cs="Times New Roman"/>
          <w:iCs/>
        </w:rPr>
      </w:pPr>
      <w:r w:rsidRPr="005F7ED7">
        <w:rPr>
          <w:rFonts w:ascii="Times New Roman" w:hAnsi="Times New Roman" w:cs="Times New Roman"/>
          <w:iCs/>
        </w:rPr>
        <w:t>Użyte w dokumentacji projektowej nazwy producenta/nazwy systemu nie mają na celu ich</w:t>
      </w:r>
      <w:r w:rsidR="005F7ED7" w:rsidRPr="005F7ED7">
        <w:rPr>
          <w:rFonts w:ascii="Times New Roman" w:hAnsi="Times New Roman" w:cs="Times New Roman"/>
          <w:iCs/>
        </w:rPr>
        <w:t xml:space="preserve"> </w:t>
      </w:r>
      <w:r w:rsidRPr="005F7ED7">
        <w:rPr>
          <w:rFonts w:ascii="Times New Roman" w:hAnsi="Times New Roman" w:cs="Times New Roman"/>
          <w:iCs/>
        </w:rPr>
        <w:t xml:space="preserve">preferowania, lecz wskazanie na oczekiwane cechy/parametry </w:t>
      </w:r>
      <w:proofErr w:type="spellStart"/>
      <w:r w:rsidRPr="005F7ED7">
        <w:rPr>
          <w:rFonts w:ascii="Times New Roman" w:hAnsi="Times New Roman" w:cs="Times New Roman"/>
          <w:iCs/>
        </w:rPr>
        <w:t>techniczno</w:t>
      </w:r>
      <w:proofErr w:type="spellEnd"/>
      <w:r w:rsidRPr="005F7ED7">
        <w:rPr>
          <w:rFonts w:ascii="Times New Roman" w:hAnsi="Times New Roman" w:cs="Times New Roman"/>
          <w:iCs/>
        </w:rPr>
        <w:t xml:space="preserve"> - jakościowe wyrobów,</w:t>
      </w:r>
      <w:r w:rsidR="005F7ED7" w:rsidRPr="005F7ED7">
        <w:rPr>
          <w:rFonts w:ascii="Times New Roman" w:hAnsi="Times New Roman" w:cs="Times New Roman"/>
          <w:iCs/>
        </w:rPr>
        <w:t xml:space="preserve"> </w:t>
      </w:r>
      <w:r w:rsidRPr="005F7ED7">
        <w:rPr>
          <w:rFonts w:ascii="Times New Roman" w:hAnsi="Times New Roman" w:cs="Times New Roman"/>
          <w:iCs/>
        </w:rPr>
        <w:t>materiałów itp., które są istotne z punktu widzenia działania lub użytkowania obiektu jako całości,</w:t>
      </w:r>
      <w:r w:rsidR="005F7ED7" w:rsidRPr="005F7ED7">
        <w:rPr>
          <w:rFonts w:ascii="Times New Roman" w:hAnsi="Times New Roman" w:cs="Times New Roman"/>
          <w:iCs/>
        </w:rPr>
        <w:t xml:space="preserve"> </w:t>
      </w:r>
      <w:r w:rsidRPr="005F7ED7">
        <w:rPr>
          <w:rFonts w:ascii="Times New Roman" w:hAnsi="Times New Roman" w:cs="Times New Roman"/>
          <w:iCs/>
        </w:rPr>
        <w:t>zgodnie z jego przeznaczeniem określonym w dokumentacji.</w:t>
      </w:r>
    </w:p>
    <w:p w:rsidR="003C7353" w:rsidRPr="005F7ED7" w:rsidRDefault="00DF2296" w:rsidP="005F7ED7">
      <w:pPr>
        <w:jc w:val="both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Podane w poniższej tabeli parametry/cechy/właściwości dotyczące równoważności materiałów</w:t>
      </w:r>
      <w:r w:rsidR="005F7ED7" w:rsidRPr="005F7ED7">
        <w:rPr>
          <w:rFonts w:ascii="Times New Roman" w:hAnsi="Times New Roman" w:cs="Times New Roman"/>
        </w:rPr>
        <w:t xml:space="preserve"> </w:t>
      </w:r>
      <w:r w:rsidRPr="005F7ED7">
        <w:rPr>
          <w:rFonts w:ascii="Times New Roman" w:hAnsi="Times New Roman" w:cs="Times New Roman"/>
        </w:rPr>
        <w:t>to wartości minimalne, jakie muszą spełnić proponowane wyroby. Zastosowanie innych niż</w:t>
      </w:r>
      <w:r w:rsidR="005F7ED7" w:rsidRPr="005F7ED7">
        <w:rPr>
          <w:rFonts w:ascii="Times New Roman" w:hAnsi="Times New Roman" w:cs="Times New Roman"/>
        </w:rPr>
        <w:t xml:space="preserve"> </w:t>
      </w:r>
      <w:r w:rsidRPr="005F7ED7">
        <w:rPr>
          <w:rFonts w:ascii="Times New Roman" w:hAnsi="Times New Roman" w:cs="Times New Roman"/>
        </w:rPr>
        <w:t>wskazane w ww. dokumentacji lub poniższej tabeli jest dopuszczalne pod warunkiem, że posiadają</w:t>
      </w:r>
      <w:r w:rsidR="005F7ED7" w:rsidRPr="005F7ED7">
        <w:rPr>
          <w:rFonts w:ascii="Times New Roman" w:hAnsi="Times New Roman" w:cs="Times New Roman"/>
        </w:rPr>
        <w:t xml:space="preserve"> </w:t>
      </w:r>
      <w:r w:rsidRPr="005F7ED7">
        <w:rPr>
          <w:rFonts w:ascii="Times New Roman" w:hAnsi="Times New Roman" w:cs="Times New Roman"/>
        </w:rPr>
        <w:t>one parametry/cechy/właściwości takie same lub lepsze od produktów referencyjnych pod względem funkcjonalnym, technicznym, jakościowym,- muszą spełniać założenia przyjęte w ww.</w:t>
      </w:r>
      <w:r w:rsidR="005F7ED7" w:rsidRPr="005F7ED7">
        <w:rPr>
          <w:rFonts w:ascii="Times New Roman" w:hAnsi="Times New Roman" w:cs="Times New Roman"/>
        </w:rPr>
        <w:t xml:space="preserve"> </w:t>
      </w:r>
      <w:r w:rsidRPr="005F7ED7">
        <w:rPr>
          <w:rFonts w:ascii="Times New Roman" w:hAnsi="Times New Roman" w:cs="Times New Roman"/>
        </w:rPr>
        <w:t>dokumentacji oraz obowiązujące normy i przepisy.</w:t>
      </w:r>
    </w:p>
    <w:p w:rsidR="003C7353" w:rsidRPr="005F7ED7" w:rsidRDefault="00DF2296" w:rsidP="005F7ED7">
      <w:pPr>
        <w:jc w:val="both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Zmiana  materiałów wymienionych w dokumentacji musi się odbywać z uwzględnieniem wszystkich parametrów technicznych, które są istotne z punktu widzenia działania obiektu jako całości</w:t>
      </w:r>
      <w:r w:rsidR="006F0649" w:rsidRPr="005F7ED7">
        <w:rPr>
          <w:rFonts w:ascii="Times New Roman" w:hAnsi="Times New Roman" w:cs="Times New Roman"/>
        </w:rPr>
        <w:t>.</w:t>
      </w:r>
      <w:r w:rsidRPr="005F7ED7">
        <w:rPr>
          <w:rFonts w:ascii="Times New Roman" w:hAnsi="Times New Roman" w:cs="Times New Roman"/>
        </w:rPr>
        <w:t xml:space="preserve"> Przyjęte w projekcie materiały zostały skoordynowane międzybranżowo. Wszystkie materiały  powinny zapewniać wzajemną kompatybilność, również z instalacjami i urządzeniami innych branż.</w:t>
      </w:r>
    </w:p>
    <w:p w:rsidR="003C7353" w:rsidRPr="005F7ED7" w:rsidRDefault="00DF2296" w:rsidP="005F7ED7">
      <w:pPr>
        <w:jc w:val="both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 przypadku zaproponowania przez Wykonawcę robót innych wyrobów/materiałów itp. niż dobrane przez projektanta, - w zakresie obowiązków Wykonawcy na etapie realizacji - w razie konieczności - będzie ponowne dokonanie obliczeń, sprawdzenie ich doboru, ponowna koordynacja między branżowa oraz dostosowanie i uzgodnienie dokumentacji.</w:t>
      </w:r>
    </w:p>
    <w:p w:rsidR="003C7353" w:rsidRPr="005F7ED7" w:rsidRDefault="003C7353" w:rsidP="002577AA">
      <w:pPr>
        <w:jc w:val="both"/>
        <w:rPr>
          <w:rFonts w:ascii="Times New Roman" w:hAnsi="Times New Roman" w:cs="Times New Roman"/>
        </w:rPr>
      </w:pPr>
    </w:p>
    <w:tbl>
      <w:tblPr>
        <w:tblW w:w="9580" w:type="dxa"/>
        <w:tblInd w:w="-46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8"/>
        <w:gridCol w:w="3260"/>
        <w:gridCol w:w="5812"/>
      </w:tblGrid>
      <w:tr w:rsidR="002577AA" w:rsidRPr="005F7ED7" w:rsidTr="002577AA">
        <w:tc>
          <w:tcPr>
            <w:tcW w:w="508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260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Nazwa materiału/urządzenia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 xml:space="preserve">wg dokumentacji projektowej </w:t>
            </w:r>
          </w:p>
        </w:tc>
        <w:tc>
          <w:tcPr>
            <w:tcW w:w="5812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Cechy równoważności materiału/urządzenia opisane w dokumentacji projektowej</w:t>
            </w:r>
          </w:p>
        </w:tc>
      </w:tr>
      <w:tr w:rsidR="002577AA" w:rsidRPr="005F7ED7" w:rsidTr="002577AA">
        <w:tc>
          <w:tcPr>
            <w:tcW w:w="508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1</w:t>
            </w:r>
            <w:r w:rsidR="002F13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proofErr w:type="spellStart"/>
            <w:r w:rsidRPr="005F7ED7">
              <w:rPr>
                <w:rFonts w:ascii="Times New Roman" w:hAnsi="Times New Roman" w:cs="Times New Roman"/>
              </w:rPr>
              <w:t>Geotkanina</w:t>
            </w:r>
            <w:proofErr w:type="spellEnd"/>
            <w:r w:rsidRPr="005F7ED7">
              <w:rPr>
                <w:rFonts w:ascii="Times New Roman" w:hAnsi="Times New Roman" w:cs="Times New Roman"/>
              </w:rPr>
              <w:t xml:space="preserve">  LOTRAK 4000</w:t>
            </w:r>
          </w:p>
        </w:tc>
        <w:tc>
          <w:tcPr>
            <w:tcW w:w="5812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rPr>
                <w:rFonts w:ascii="Times New Roman" w:hAnsi="Times New Roman" w:cs="Times New Roman"/>
                <w:lang w:eastAsia="pl-PL"/>
              </w:rPr>
            </w:pPr>
            <w:r w:rsidRPr="005F7ED7">
              <w:rPr>
                <w:rFonts w:ascii="Times New Roman" w:hAnsi="Times New Roman" w:cs="Times New Roman"/>
                <w:lang w:eastAsia="pl-PL"/>
              </w:rPr>
              <w:t xml:space="preserve">Parametry </w:t>
            </w:r>
            <w:proofErr w:type="spellStart"/>
            <w:r w:rsidRPr="005F7ED7">
              <w:rPr>
                <w:rFonts w:ascii="Times New Roman" w:hAnsi="Times New Roman" w:cs="Times New Roman"/>
                <w:lang w:eastAsia="pl-PL"/>
              </w:rPr>
              <w:t>geotkaniny</w:t>
            </w:r>
            <w:proofErr w:type="spellEnd"/>
            <w:r w:rsidRPr="005F7ED7">
              <w:rPr>
                <w:rFonts w:ascii="Times New Roman" w:hAnsi="Times New Roman" w:cs="Times New Roman"/>
                <w:lang w:eastAsia="pl-PL"/>
              </w:rPr>
              <w:t xml:space="preserve"> nie mniejsze niż: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  <w:lang w:eastAsia="pl-PL"/>
              </w:rPr>
            </w:pPr>
            <w:r w:rsidRPr="005F7ED7">
              <w:rPr>
                <w:rFonts w:ascii="Times New Roman" w:hAnsi="Times New Roman" w:cs="Times New Roman"/>
                <w:lang w:eastAsia="pl-PL"/>
              </w:rPr>
              <w:t>-wytrzymałość na rozciąganie wzdłu</w:t>
            </w:r>
            <w:r w:rsidR="00882EDE" w:rsidRPr="005F7ED7">
              <w:rPr>
                <w:rFonts w:ascii="Times New Roman" w:hAnsi="Times New Roman" w:cs="Times New Roman"/>
                <w:lang w:eastAsia="pl-PL"/>
              </w:rPr>
              <w:t>ż</w:t>
            </w:r>
            <w:r w:rsidRPr="005F7ED7">
              <w:rPr>
                <w:rFonts w:ascii="Times New Roman" w:hAnsi="Times New Roman" w:cs="Times New Roman"/>
                <w:lang w:eastAsia="pl-PL"/>
              </w:rPr>
              <w:t xml:space="preserve"> pasma</w:t>
            </w:r>
            <w:r w:rsidR="00882EDE" w:rsidRPr="005F7ED7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BF26D5" w:rsidRPr="005F7ED7">
              <w:rPr>
                <w:rFonts w:ascii="Times New Roman" w:hAnsi="Times New Roman" w:cs="Times New Roman"/>
                <w:lang w:eastAsia="pl-PL"/>
              </w:rPr>
              <w:t xml:space="preserve">– min. 35 </w:t>
            </w:r>
            <w:proofErr w:type="spellStart"/>
            <w:r w:rsidR="00BF26D5" w:rsidRPr="005F7ED7">
              <w:rPr>
                <w:rFonts w:ascii="Times New Roman" w:hAnsi="Times New Roman" w:cs="Times New Roman"/>
                <w:lang w:eastAsia="pl-PL"/>
              </w:rPr>
              <w:t>kN</w:t>
            </w:r>
            <w:proofErr w:type="spellEnd"/>
            <w:r w:rsidR="00BF26D5" w:rsidRPr="005F7ED7">
              <w:rPr>
                <w:rFonts w:ascii="Times New Roman" w:hAnsi="Times New Roman" w:cs="Times New Roman"/>
                <w:lang w:eastAsia="pl-PL"/>
              </w:rPr>
              <w:t>/m</w:t>
            </w:r>
            <w:r w:rsidRPr="005F7ED7">
              <w:rPr>
                <w:rFonts w:ascii="Times New Roman" w:hAnsi="Times New Roman" w:cs="Times New Roman"/>
                <w:lang w:eastAsia="pl-PL"/>
              </w:rPr>
              <w:t>,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  <w:lang w:eastAsia="pl-PL"/>
              </w:rPr>
            </w:pPr>
            <w:r w:rsidRPr="005F7ED7">
              <w:rPr>
                <w:rFonts w:ascii="Times New Roman" w:hAnsi="Times New Roman" w:cs="Times New Roman"/>
                <w:lang w:eastAsia="pl-PL"/>
              </w:rPr>
              <w:t>- wytrzymałość na rozciąganie wszerz pasma</w:t>
            </w:r>
            <w:r w:rsidR="00BF26D5" w:rsidRPr="005F7ED7">
              <w:rPr>
                <w:rFonts w:ascii="Times New Roman" w:hAnsi="Times New Roman" w:cs="Times New Roman"/>
                <w:lang w:eastAsia="pl-PL"/>
              </w:rPr>
              <w:t xml:space="preserve"> – min. 30 </w:t>
            </w:r>
            <w:proofErr w:type="spellStart"/>
            <w:r w:rsidR="00BF26D5" w:rsidRPr="005F7ED7">
              <w:rPr>
                <w:rFonts w:ascii="Times New Roman" w:hAnsi="Times New Roman" w:cs="Times New Roman"/>
                <w:lang w:eastAsia="pl-PL"/>
              </w:rPr>
              <w:t>kN</w:t>
            </w:r>
            <w:proofErr w:type="spellEnd"/>
            <w:r w:rsidR="00BF26D5" w:rsidRPr="005F7ED7">
              <w:rPr>
                <w:rFonts w:ascii="Times New Roman" w:hAnsi="Times New Roman" w:cs="Times New Roman"/>
                <w:lang w:eastAsia="pl-PL"/>
              </w:rPr>
              <w:t>/m</w:t>
            </w:r>
            <w:r w:rsidRPr="005F7ED7">
              <w:rPr>
                <w:rFonts w:ascii="Times New Roman" w:hAnsi="Times New Roman" w:cs="Times New Roman"/>
                <w:lang w:eastAsia="pl-PL"/>
              </w:rPr>
              <w:t>,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  <w:lang w:eastAsia="pl-PL"/>
              </w:rPr>
            </w:pPr>
            <w:r w:rsidRPr="005F7ED7">
              <w:rPr>
                <w:rFonts w:ascii="Times New Roman" w:hAnsi="Times New Roman" w:cs="Times New Roman"/>
                <w:lang w:eastAsia="pl-PL"/>
              </w:rPr>
              <w:t xml:space="preserve">- prędkość przepływu wody prostopadłego do płaszczyzny </w:t>
            </w:r>
            <w:proofErr w:type="spellStart"/>
            <w:r w:rsidRPr="005F7ED7">
              <w:rPr>
                <w:rFonts w:ascii="Times New Roman" w:hAnsi="Times New Roman" w:cs="Times New Roman"/>
                <w:lang w:eastAsia="pl-PL"/>
              </w:rPr>
              <w:t>geotkaniny</w:t>
            </w:r>
            <w:proofErr w:type="spellEnd"/>
            <w:r w:rsidRPr="005F7ED7">
              <w:rPr>
                <w:rFonts w:ascii="Times New Roman" w:hAnsi="Times New Roman" w:cs="Times New Roman"/>
                <w:lang w:eastAsia="pl-PL"/>
              </w:rPr>
              <w:t xml:space="preserve">  </w:t>
            </w:r>
            <w:r w:rsidR="00BF26D5" w:rsidRPr="005F7ED7">
              <w:rPr>
                <w:rFonts w:ascii="Times New Roman" w:hAnsi="Times New Roman" w:cs="Times New Roman"/>
                <w:lang w:eastAsia="pl-PL"/>
              </w:rPr>
              <w:t>- min. 26 mm/s,</w:t>
            </w:r>
          </w:p>
          <w:p w:rsidR="002577AA" w:rsidRPr="005F7ED7" w:rsidRDefault="002577AA" w:rsidP="00BF26D5">
            <w:pPr>
              <w:rPr>
                <w:rFonts w:ascii="Times New Roman" w:hAnsi="Times New Roman" w:cs="Times New Roman"/>
                <w:lang w:eastAsia="pl-PL"/>
              </w:rPr>
            </w:pPr>
            <w:r w:rsidRPr="005F7ED7">
              <w:rPr>
                <w:rFonts w:ascii="Times New Roman" w:hAnsi="Times New Roman" w:cs="Times New Roman"/>
                <w:lang w:eastAsia="pl-PL"/>
              </w:rPr>
              <w:t>- odporność na przebicie statyczne (CBR):</w:t>
            </w:r>
            <w:r w:rsidR="00BF26D5" w:rsidRPr="005F7ED7">
              <w:rPr>
                <w:rFonts w:ascii="Times New Roman" w:hAnsi="Times New Roman" w:cs="Times New Roman"/>
                <w:lang w:eastAsia="pl-PL"/>
              </w:rPr>
              <w:t xml:space="preserve"> min. 4 KN</w:t>
            </w:r>
          </w:p>
        </w:tc>
      </w:tr>
      <w:tr w:rsidR="002577AA" w:rsidRPr="005F7ED7" w:rsidTr="002577AA">
        <w:trPr>
          <w:trHeight w:val="365"/>
        </w:trPr>
        <w:tc>
          <w:tcPr>
            <w:tcW w:w="508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2</w:t>
            </w:r>
            <w:r w:rsidR="002F136C">
              <w:rPr>
                <w:rFonts w:ascii="Times New Roman" w:hAnsi="Times New Roman" w:cs="Times New Roman"/>
              </w:rPr>
              <w:t>.</w:t>
            </w:r>
          </w:p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 xml:space="preserve">Wzmocnienie powierzchni kinet LITORIN I </w:t>
            </w:r>
            <w:proofErr w:type="spellStart"/>
            <w:r w:rsidRPr="005F7ED7">
              <w:rPr>
                <w:rFonts w:ascii="Times New Roman" w:hAnsi="Times New Roman" w:cs="Times New Roman"/>
              </w:rPr>
              <w:t>i</w:t>
            </w:r>
            <w:proofErr w:type="spellEnd"/>
            <w:r w:rsidRPr="005F7ED7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5812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Działanie preparatu: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- zapewnienie ochrony i wzmocnienie nawierzchni posadzek betonowych,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- zabezpieczenie przed pyleniem,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- powstrzymanie przesiąkania cieczy,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- zapewnienie ochrony przed elektrycznością statyczną,</w:t>
            </w:r>
          </w:p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- zapewnienie powierzchni odporności na ścieranie, uderzenia i poślizg oraz działanie wysokich i niskich temperatur</w:t>
            </w:r>
          </w:p>
        </w:tc>
      </w:tr>
      <w:tr w:rsidR="002577AA" w:rsidRPr="005F7ED7" w:rsidTr="002577AA">
        <w:tc>
          <w:tcPr>
            <w:tcW w:w="508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3</w:t>
            </w:r>
            <w:r w:rsidR="002F13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Zawór kulowy SZUSTER</w:t>
            </w:r>
          </w:p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shd w:val="clear" w:color="auto" w:fill="FFFFFF"/>
            <w:tcMar>
              <w:left w:w="36" w:type="dxa"/>
            </w:tcMar>
          </w:tcPr>
          <w:p w:rsidR="00DF0B3A" w:rsidRPr="005F7ED7" w:rsidRDefault="00DF0B3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Zawór zabezpieczający przed powrotnym przepływem ścieków,</w:t>
            </w:r>
          </w:p>
          <w:p w:rsidR="00DF0B3A" w:rsidRPr="005F7ED7" w:rsidRDefault="00DF0B3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lastRenderedPageBreak/>
              <w:t>Ciśnienie nominalne: PN 10 lub PN 16,</w:t>
            </w:r>
          </w:p>
          <w:p w:rsidR="00DF0B3A" w:rsidRPr="005F7ED7" w:rsidRDefault="00DF0B3A" w:rsidP="00DF0B3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Zgodność wyrobu z PN-EN 12050-1:2002</w:t>
            </w:r>
            <w:r w:rsidR="005F7ED7" w:rsidRPr="005F7ED7">
              <w:rPr>
                <w:rFonts w:ascii="Times New Roman" w:hAnsi="Times New Roman" w:cs="Times New Roman"/>
              </w:rPr>
              <w:t xml:space="preserve"> lub PN-EN 12050-4,</w:t>
            </w:r>
          </w:p>
          <w:p w:rsidR="00DF0B3A" w:rsidRPr="005F7ED7" w:rsidRDefault="00DF0B3A" w:rsidP="00DF0B3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Śruby łączące pokrywę z korpusem ze stali nierdzewnej,</w:t>
            </w:r>
          </w:p>
          <w:p w:rsidR="005F7ED7" w:rsidRPr="005F7ED7" w:rsidRDefault="005F7ED7" w:rsidP="00DF0B3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Ochrona antykorozyjna powłoką na bazie żywicy epoksydowej,</w:t>
            </w:r>
          </w:p>
        </w:tc>
      </w:tr>
      <w:tr w:rsidR="002577AA" w:rsidRPr="005F7ED7" w:rsidTr="002577AA">
        <w:trPr>
          <w:trHeight w:val="932"/>
        </w:trPr>
        <w:tc>
          <w:tcPr>
            <w:tcW w:w="508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lastRenderedPageBreak/>
              <w:t>4</w:t>
            </w:r>
            <w:r w:rsidR="002F13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pStyle w:val="Zawartotabeli"/>
              <w:rPr>
                <w:rFonts w:ascii="Times New Roman" w:hAnsi="Times New Roman" w:cs="Times New Roman"/>
              </w:rPr>
            </w:pPr>
            <w:proofErr w:type="spellStart"/>
            <w:r w:rsidRPr="005F7ED7">
              <w:rPr>
                <w:rFonts w:ascii="Times New Roman" w:hAnsi="Times New Roman" w:cs="Times New Roman"/>
              </w:rPr>
              <w:t>Abizol</w:t>
            </w:r>
            <w:proofErr w:type="spellEnd"/>
            <w:r w:rsidRPr="005F7E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812" w:type="dxa"/>
            <w:shd w:val="clear" w:color="auto" w:fill="FFFFFF"/>
            <w:tcMar>
              <w:left w:w="36" w:type="dxa"/>
            </w:tcMar>
          </w:tcPr>
          <w:p w:rsidR="002577AA" w:rsidRPr="005F7ED7" w:rsidRDefault="002577AA" w:rsidP="002577AA">
            <w:pPr>
              <w:rPr>
                <w:rFonts w:ascii="Times New Roman" w:hAnsi="Times New Roman" w:cs="Times New Roman"/>
              </w:rPr>
            </w:pPr>
            <w:r w:rsidRPr="005F7ED7">
              <w:rPr>
                <w:rFonts w:ascii="Times New Roman" w:hAnsi="Times New Roman" w:cs="Times New Roman"/>
              </w:rPr>
              <w:t>Produkt oparty na bazie masy bitumicznej, modyfikowany kauczukiem syntetycznym, o właściwościach spajających i zabezpieczających, służący do zabezpieczania budynków i budowli przed działaniem wody i wilgoci</w:t>
            </w:r>
          </w:p>
        </w:tc>
      </w:tr>
      <w:tr w:rsidR="002F136C" w:rsidRPr="005F7ED7" w:rsidTr="002577AA">
        <w:trPr>
          <w:trHeight w:val="932"/>
        </w:trPr>
        <w:tc>
          <w:tcPr>
            <w:tcW w:w="508" w:type="dxa"/>
            <w:shd w:val="clear" w:color="auto" w:fill="FFFFFF"/>
            <w:tcMar>
              <w:left w:w="36" w:type="dxa"/>
            </w:tcMar>
          </w:tcPr>
          <w:p w:rsidR="002F136C" w:rsidRPr="005F7ED7" w:rsidRDefault="002F136C" w:rsidP="002577AA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260" w:type="dxa"/>
            <w:shd w:val="clear" w:color="auto" w:fill="FFFFFF"/>
            <w:tcMar>
              <w:left w:w="36" w:type="dxa"/>
            </w:tcMar>
          </w:tcPr>
          <w:p w:rsidR="002F136C" w:rsidRPr="005F7ED7" w:rsidRDefault="002F136C" w:rsidP="002577AA">
            <w:pPr>
              <w:pStyle w:val="Zawartotabeli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Umocnienie słupowo-li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niowe „PODLASIE 1”</w:t>
            </w:r>
          </w:p>
        </w:tc>
        <w:tc>
          <w:tcPr>
            <w:tcW w:w="5812" w:type="dxa"/>
            <w:shd w:val="clear" w:color="auto" w:fill="FFFFFF"/>
            <w:tcMar>
              <w:left w:w="36" w:type="dxa"/>
            </w:tcMar>
          </w:tcPr>
          <w:p w:rsidR="002F136C" w:rsidRPr="002F136C" w:rsidRDefault="002F136C" w:rsidP="002577AA">
            <w:pPr>
              <w:rPr>
                <w:rFonts w:ascii="Times New Roman" w:hAnsi="Times New Roman" w:cs="Times New Roman"/>
              </w:rPr>
            </w:pPr>
            <w:r w:rsidRPr="002F136C">
              <w:rPr>
                <w:rFonts w:ascii="Times New Roman" w:hAnsi="Times New Roman" w:cs="Times New Roman"/>
              </w:rPr>
              <w:t xml:space="preserve">System do zabezpieczania wykopów o dopuszczalnym parciu gruntu minimum 50 </w:t>
            </w:r>
            <w:proofErr w:type="spellStart"/>
            <w:r w:rsidRPr="002F136C">
              <w:rPr>
                <w:rFonts w:ascii="Times New Roman" w:hAnsi="Times New Roman" w:cs="Times New Roman"/>
              </w:rPr>
              <w:t>kN</w:t>
            </w:r>
            <w:proofErr w:type="spellEnd"/>
            <w:r w:rsidRPr="002F136C">
              <w:rPr>
                <w:rFonts w:ascii="Times New Roman" w:hAnsi="Times New Roman" w:cs="Times New Roman"/>
              </w:rPr>
              <w:t xml:space="preserve">/m </w:t>
            </w:r>
            <w:r w:rsidRPr="002F136C">
              <w:rPr>
                <w:rFonts w:ascii="Times New Roman" w:hAnsi="Times New Roman" w:cs="Times New Roman"/>
                <w:vertAlign w:val="superscript"/>
              </w:rPr>
              <w:t>2</w:t>
            </w:r>
            <w:r w:rsidRPr="002F136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do pracy we wszystkich rodzajach gruntu,</w:t>
            </w:r>
            <w:r w:rsidRPr="002F136C">
              <w:rPr>
                <w:rFonts w:ascii="Times New Roman" w:hAnsi="Times New Roman" w:cs="Times New Roman"/>
              </w:rPr>
              <w:t xml:space="preserve"> pozwalając</w:t>
            </w:r>
            <w:r>
              <w:rPr>
                <w:rFonts w:ascii="Times New Roman" w:hAnsi="Times New Roman" w:cs="Times New Roman"/>
              </w:rPr>
              <w:t>y</w:t>
            </w:r>
            <w:r w:rsidRPr="002F136C">
              <w:rPr>
                <w:rFonts w:ascii="Times New Roman" w:hAnsi="Times New Roman" w:cs="Times New Roman"/>
              </w:rPr>
              <w:t xml:space="preserve"> na kroczący system pracy</w:t>
            </w:r>
          </w:p>
        </w:tc>
      </w:tr>
    </w:tbl>
    <w:p w:rsidR="003C7353" w:rsidRPr="005F7ED7" w:rsidRDefault="003C7353" w:rsidP="002577AA">
      <w:pPr>
        <w:rPr>
          <w:rFonts w:ascii="Times New Roman" w:hAnsi="Times New Roman" w:cs="Times New Roman"/>
        </w:rPr>
      </w:pPr>
    </w:p>
    <w:p w:rsidR="005F7ED7" w:rsidRPr="005F7ED7" w:rsidRDefault="005F7ED7" w:rsidP="002577AA">
      <w:pPr>
        <w:jc w:val="both"/>
        <w:rPr>
          <w:rFonts w:ascii="Times New Roman" w:hAnsi="Times New Roman" w:cs="Times New Roman"/>
        </w:rPr>
      </w:pPr>
    </w:p>
    <w:p w:rsidR="005F7ED7" w:rsidRPr="005F7ED7" w:rsidRDefault="005F7ED7" w:rsidP="005F7ED7">
      <w:pPr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Kryteria porównywalności pomp</w:t>
      </w:r>
    </w:p>
    <w:p w:rsidR="005F7ED7" w:rsidRPr="005F7ED7" w:rsidRDefault="005F7ED7" w:rsidP="005F7ED7">
      <w:pPr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Ze względu na obniżenie kosztów eksploatacji, wszystkie pompy muszą pochodzić od jednego producenta:</w:t>
      </w:r>
    </w:p>
    <w:p w:rsidR="005F7ED7" w:rsidRPr="005F7ED7" w:rsidRDefault="005F7ED7" w:rsidP="005F7ED7">
      <w:pPr>
        <w:rPr>
          <w:rFonts w:ascii="Times New Roman" w:hAnsi="Times New Roman" w:cs="Times New Roman"/>
        </w:rPr>
      </w:pPr>
    </w:p>
    <w:p w:rsidR="005F7ED7" w:rsidRPr="005F7ED7" w:rsidRDefault="005F7ED7" w:rsidP="005F7ED7">
      <w:pPr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Ogólne wymagania pomp o mocy od 7 kW</w:t>
      </w:r>
    </w:p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iCs/>
          <w:snapToGrid w:val="0"/>
          <w:color w:val="auto"/>
        </w:rPr>
      </w:pPr>
      <w:r w:rsidRPr="005F7ED7">
        <w:rPr>
          <w:rFonts w:ascii="Times New Roman" w:hAnsi="Times New Roman" w:cs="Times New Roman"/>
          <w:iCs/>
          <w:snapToGrid w:val="0"/>
          <w:color w:val="auto"/>
        </w:rPr>
        <w:t>Pompy musza się charakteryzować wartościami nie gorszymi niż: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Wykres pompy certyfikowany zgodnie z :ISO 9906: 2012, HI 11.6/14.6 ≤10kW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 xml:space="preserve">Klasa silnika, wg </w:t>
      </w:r>
      <w:r w:rsidRPr="005F7ED7">
        <w:rPr>
          <w:rFonts w:ascii="Times New Roman" w:hAnsi="Times New Roman" w:cs="Times New Roman"/>
        </w:rPr>
        <w:t>IEC 60034-30</w:t>
      </w:r>
      <w:r w:rsidRPr="005F7ED7">
        <w:rPr>
          <w:rFonts w:ascii="Times New Roman" w:hAnsi="Times New Roman" w:cs="Times New Roman"/>
          <w:color w:val="auto"/>
        </w:rPr>
        <w:t>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IE3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Klasa izolacji silnika: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H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Współczynnik przeciążenia wg. NEMA:</w:t>
      </w:r>
      <w:r w:rsidRPr="005F7ED7">
        <w:rPr>
          <w:rFonts w:ascii="Times New Roman" w:hAnsi="Times New Roman" w:cs="Times New Roman"/>
          <w:color w:val="auto"/>
        </w:rPr>
        <w:tab/>
        <w:t>1,3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Klasa ATEX: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iCs/>
          <w:snapToGrid w:val="0"/>
        </w:rPr>
        <w:t xml:space="preserve">II 2Gk </w:t>
      </w:r>
      <w:proofErr w:type="spellStart"/>
      <w:r w:rsidRPr="005F7ED7">
        <w:rPr>
          <w:rFonts w:ascii="Times New Roman" w:hAnsi="Times New Roman" w:cs="Times New Roman"/>
          <w:iCs/>
          <w:snapToGrid w:val="0"/>
        </w:rPr>
        <w:t>Exd</w:t>
      </w:r>
      <w:proofErr w:type="spellEnd"/>
      <w:r w:rsidRPr="005F7ED7">
        <w:rPr>
          <w:rFonts w:ascii="Times New Roman" w:hAnsi="Times New Roman" w:cs="Times New Roman"/>
          <w:iCs/>
          <w:snapToGrid w:val="0"/>
        </w:rPr>
        <w:t xml:space="preserve"> IIBT4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Typ pracy silnika: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przystosowany do ciągłej pracy na sucho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Uczernienie: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 xml:space="preserve">podwójne mechaniczne </w:t>
      </w:r>
      <w:proofErr w:type="spellStart"/>
      <w:r w:rsidRPr="005F7ED7">
        <w:rPr>
          <w:rFonts w:ascii="Times New Roman" w:hAnsi="Times New Roman" w:cs="Times New Roman"/>
          <w:color w:val="auto"/>
        </w:rPr>
        <w:t>SiC-SiC</w:t>
      </w:r>
      <w:proofErr w:type="spellEnd"/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Napięcie: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400 V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Rodzaj rozruchu: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Y/D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Długość kabla: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 xml:space="preserve">                      </w:t>
      </w:r>
      <w:r w:rsidRPr="005F7ED7">
        <w:rPr>
          <w:rFonts w:ascii="Times New Roman" w:hAnsi="Times New Roman" w:cs="Times New Roman"/>
          <w:color w:val="auto"/>
        </w:rPr>
        <w:tab/>
        <w:t>10 m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Montaż kabla w pompie: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wtyczka kablowa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  <w:color w:val="auto"/>
        </w:rPr>
        <w:t>Ochrona przed zawilgoceniem</w:t>
      </w:r>
      <w:r w:rsidRPr="005F7ED7">
        <w:rPr>
          <w:rFonts w:ascii="Times New Roman" w:hAnsi="Times New Roman" w:cs="Times New Roman"/>
        </w:rPr>
        <w:t>:</w:t>
      </w:r>
      <w:r w:rsidRPr="005F7ED7">
        <w:rPr>
          <w:rFonts w:ascii="Times New Roman" w:hAnsi="Times New Roman" w:cs="Times New Roman"/>
        </w:rPr>
        <w:tab/>
        <w:t>konduktometryczna ochrona w komorze olejowej i komorze silnika. Sygnał wyprowadzony do skrzynki sterowniczej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  <w:color w:val="auto"/>
        </w:rPr>
        <w:t>Ochrona prze przegrzaniem</w:t>
      </w:r>
      <w:r w:rsidRPr="005F7ED7">
        <w:rPr>
          <w:rFonts w:ascii="Times New Roman" w:hAnsi="Times New Roman" w:cs="Times New Roman"/>
        </w:rPr>
        <w:t>:</w:t>
      </w:r>
      <w:r w:rsidRPr="005F7ED7">
        <w:rPr>
          <w:rFonts w:ascii="Times New Roman" w:hAnsi="Times New Roman" w:cs="Times New Roman"/>
        </w:rPr>
        <w:tab/>
        <w:t>bimetal w każdej fazie uzwojeń silnika. Sygnał wyprowadzony do skrzynki sterowniczej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Obliczeniowa trwałość łożysk:</w:t>
      </w:r>
      <w:r w:rsidRPr="005F7ED7">
        <w:rPr>
          <w:rFonts w:ascii="Times New Roman" w:hAnsi="Times New Roman" w:cs="Times New Roman"/>
          <w:color w:val="auto"/>
        </w:rPr>
        <w:tab/>
        <w:t xml:space="preserve">50 </w:t>
      </w:r>
      <w:proofErr w:type="spellStart"/>
      <w:r w:rsidRPr="005F7ED7">
        <w:rPr>
          <w:rFonts w:ascii="Times New Roman" w:hAnsi="Times New Roman" w:cs="Times New Roman"/>
          <w:color w:val="auto"/>
        </w:rPr>
        <w:t>tys</w:t>
      </w:r>
      <w:proofErr w:type="spellEnd"/>
      <w:r w:rsidRPr="005F7ED7">
        <w:rPr>
          <w:rFonts w:ascii="Times New Roman" w:hAnsi="Times New Roman" w:cs="Times New Roman"/>
          <w:color w:val="auto"/>
        </w:rPr>
        <w:t xml:space="preserve"> godzin </w:t>
      </w:r>
      <w:r w:rsidRPr="005F7ED7">
        <w:rPr>
          <w:rFonts w:ascii="Times New Roman" w:hAnsi="Times New Roman" w:cs="Times New Roman"/>
        </w:rPr>
        <w:t>wyznaczona</w:t>
      </w:r>
      <w:r w:rsidRPr="005F7ED7">
        <w:rPr>
          <w:rFonts w:ascii="Times New Roman" w:hAnsi="Times New Roman" w:cs="Times New Roman"/>
          <w:color w:val="auto"/>
        </w:rPr>
        <w:t xml:space="preserve"> dla 50% </w:t>
      </w:r>
      <w:r w:rsidRPr="005F7ED7">
        <w:rPr>
          <w:rFonts w:ascii="Times New Roman" w:hAnsi="Times New Roman" w:cs="Times New Roman"/>
        </w:rPr>
        <w:t>wydajności punktu maksymalnej sprawności hydraulicznej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Minimalna średnica prowadnic pomp:</w:t>
      </w:r>
      <w:r w:rsidRPr="005F7ED7">
        <w:rPr>
          <w:rFonts w:ascii="Times New Roman" w:hAnsi="Times New Roman" w:cs="Times New Roman"/>
          <w:color w:val="auto"/>
        </w:rPr>
        <w:tab/>
        <w:t>2 cale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Wykonanie</w:t>
      </w:r>
      <w:r w:rsidRPr="005F7ED7">
        <w:rPr>
          <w:rFonts w:ascii="Times New Roman" w:hAnsi="Times New Roman" w:cs="Times New Roman"/>
          <w:snapToGrid w:val="0"/>
          <w:color w:val="auto"/>
        </w:rPr>
        <w:t xml:space="preserve"> materiałowe pompy:</w:t>
      </w:r>
    </w:p>
    <w:p w:rsidR="005F7ED7" w:rsidRPr="005F7ED7" w:rsidRDefault="005F7ED7" w:rsidP="005F7ED7">
      <w:pPr>
        <w:tabs>
          <w:tab w:val="left" w:pos="2269"/>
        </w:tabs>
        <w:spacing w:line="36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Korpus silnika: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  <w:position w:val="6"/>
        </w:rPr>
      </w:pPr>
      <w:r w:rsidRPr="005F7ED7">
        <w:rPr>
          <w:rFonts w:ascii="Times New Roman" w:hAnsi="Times New Roman" w:cs="Times New Roman"/>
        </w:rPr>
        <w:t>Korpus tłoczny: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Wirnik: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Płyta dolna: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Wał: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1.4021 (AISI 420)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lastRenderedPageBreak/>
        <w:t>Elementy złączne: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1.4401 (AISI 316)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Pałąk wyciągowy: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1.4401 (AISI 316)</w:t>
      </w:r>
    </w:p>
    <w:p w:rsidR="005F7ED7" w:rsidRDefault="005F7ED7" w:rsidP="005F7ED7">
      <w:pPr>
        <w:pStyle w:val="Tekstpodstawowy3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5F7ED7" w:rsidRPr="005F7ED7" w:rsidRDefault="005F7ED7" w:rsidP="005F7ED7">
      <w:pPr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Ogólne wymagania pomp o mocy mniejszej niż 7 kW</w:t>
      </w:r>
    </w:p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iCs/>
          <w:snapToGrid w:val="0"/>
          <w:color w:val="auto"/>
        </w:rPr>
      </w:pPr>
      <w:r w:rsidRPr="005F7ED7">
        <w:rPr>
          <w:rFonts w:ascii="Times New Roman" w:hAnsi="Times New Roman" w:cs="Times New Roman"/>
          <w:iCs/>
          <w:snapToGrid w:val="0"/>
          <w:color w:val="auto"/>
        </w:rPr>
        <w:t>Pompy musza się charakteryzować wartościami nie gorszymi niż: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Wykres pompy certyfikowany zgodnie z :ISO 9906: 2012, HI 11.6/14.6 ≤10kW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Napięcie: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400 V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Rodzaj rozruchu: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Y/D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Długość kabla: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 xml:space="preserve">                      </w:t>
      </w:r>
      <w:r w:rsidRPr="005F7ED7">
        <w:rPr>
          <w:rFonts w:ascii="Times New Roman" w:hAnsi="Times New Roman" w:cs="Times New Roman"/>
          <w:color w:val="auto"/>
        </w:rPr>
        <w:tab/>
        <w:t>10 m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Uczernienie: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 xml:space="preserve">podwójne mechaniczne </w:t>
      </w:r>
      <w:proofErr w:type="spellStart"/>
      <w:r w:rsidRPr="005F7ED7">
        <w:rPr>
          <w:rFonts w:ascii="Times New Roman" w:hAnsi="Times New Roman" w:cs="Times New Roman"/>
          <w:color w:val="auto"/>
        </w:rPr>
        <w:t>SiC-SiC</w:t>
      </w:r>
      <w:proofErr w:type="spellEnd"/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  <w:color w:val="auto"/>
        </w:rPr>
        <w:t>Ochrona przed zawilgoceniem</w:t>
      </w:r>
      <w:r w:rsidRPr="005F7ED7">
        <w:rPr>
          <w:rFonts w:ascii="Times New Roman" w:hAnsi="Times New Roman" w:cs="Times New Roman"/>
        </w:rPr>
        <w:t>:</w:t>
      </w:r>
      <w:r w:rsidRPr="005F7ED7">
        <w:rPr>
          <w:rFonts w:ascii="Times New Roman" w:hAnsi="Times New Roman" w:cs="Times New Roman"/>
        </w:rPr>
        <w:tab/>
        <w:t>konduktometryczna ochrona w komorze. Sygnał wyprowadzony do skrzynki sterowniczej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  <w:color w:val="auto"/>
        </w:rPr>
        <w:t>Ochrona prze przegrzaniem</w:t>
      </w:r>
      <w:r w:rsidRPr="005F7ED7">
        <w:rPr>
          <w:rFonts w:ascii="Times New Roman" w:hAnsi="Times New Roman" w:cs="Times New Roman"/>
        </w:rPr>
        <w:t>:</w:t>
      </w:r>
      <w:r w:rsidRPr="005F7ED7">
        <w:rPr>
          <w:rFonts w:ascii="Times New Roman" w:hAnsi="Times New Roman" w:cs="Times New Roman"/>
        </w:rPr>
        <w:tab/>
        <w:t>Bimetal w każdej fazie uzwojeń silnika. Sygnał wyprowadzony do skrzynki sterowniczej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Minimalna średnica prowadnic pomp:</w:t>
      </w:r>
      <w:r w:rsidRPr="005F7ED7">
        <w:rPr>
          <w:rFonts w:ascii="Times New Roman" w:hAnsi="Times New Roman" w:cs="Times New Roman"/>
          <w:color w:val="auto"/>
        </w:rPr>
        <w:tab/>
        <w:t>2 cale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Wykonanie</w:t>
      </w:r>
      <w:r w:rsidRPr="005F7ED7">
        <w:rPr>
          <w:rFonts w:ascii="Times New Roman" w:hAnsi="Times New Roman" w:cs="Times New Roman"/>
          <w:snapToGrid w:val="0"/>
          <w:color w:val="auto"/>
        </w:rPr>
        <w:t xml:space="preserve"> materiałowe pompy:</w:t>
      </w:r>
    </w:p>
    <w:p w:rsidR="005F7ED7" w:rsidRPr="005F7ED7" w:rsidRDefault="005F7ED7" w:rsidP="005F7ED7">
      <w:pPr>
        <w:tabs>
          <w:tab w:val="left" w:pos="2269"/>
        </w:tabs>
        <w:spacing w:line="36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Korpus silnika: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  <w:position w:val="6"/>
        </w:rPr>
      </w:pPr>
      <w:r w:rsidRPr="005F7ED7">
        <w:rPr>
          <w:rFonts w:ascii="Times New Roman" w:hAnsi="Times New Roman" w:cs="Times New Roman"/>
        </w:rPr>
        <w:t>Korpus tłoczny: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Wirnik: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Płyta dolna: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Wał: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1.4021 (AISI 420)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Elementy złączne: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1.4401 (AISI 316)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</w:p>
    <w:p w:rsidR="005F7ED7" w:rsidRPr="005F7ED7" w:rsidRDefault="005F7ED7" w:rsidP="005F7ED7">
      <w:pPr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Wymagania pomp w pompowniach jednopompowych</w:t>
      </w:r>
    </w:p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iCs/>
          <w:snapToGrid w:val="0"/>
          <w:color w:val="auto"/>
        </w:rPr>
      </w:pPr>
      <w:r w:rsidRPr="005F7ED7">
        <w:rPr>
          <w:rFonts w:ascii="Times New Roman" w:hAnsi="Times New Roman" w:cs="Times New Roman"/>
          <w:iCs/>
          <w:snapToGrid w:val="0"/>
          <w:color w:val="auto"/>
        </w:rPr>
        <w:t>Pompy musza się charakteryzować wartościami nie gorszymi niż: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Wykres pompy certyfikowany zgodnie z :ISO 9906: 2012, HI 11.6/14.6 ≤10kW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Wydajność pompy Q: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0,1-3,5 l/s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Wysokość podnoszenia H: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20-5 m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P1/P2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2,56/2,00 kW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Napięcie: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400 V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Rodzaj rozruchu: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Y/D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Długość kabla: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 xml:space="preserve">                      </w:t>
      </w:r>
      <w:r w:rsidRPr="005F7ED7">
        <w:rPr>
          <w:rFonts w:ascii="Times New Roman" w:hAnsi="Times New Roman" w:cs="Times New Roman"/>
          <w:color w:val="auto"/>
        </w:rPr>
        <w:tab/>
        <w:t>10 m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DN króćca ssawnego: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>32</w:t>
      </w:r>
    </w:p>
    <w:p w:rsidR="005F7ED7" w:rsidRPr="005F7ED7" w:rsidRDefault="005F7ED7" w:rsidP="005F7ED7">
      <w:pPr>
        <w:numPr>
          <w:ilvl w:val="0"/>
          <w:numId w:val="1"/>
        </w:numPr>
        <w:tabs>
          <w:tab w:val="left" w:pos="2269"/>
        </w:tabs>
        <w:suppressAutoHyphens w:val="0"/>
        <w:spacing w:line="240" w:lineRule="atLeast"/>
        <w:rPr>
          <w:rFonts w:ascii="Times New Roman" w:hAnsi="Times New Roman" w:cs="Times New Roman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Uczernienie:</w:t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</w:r>
      <w:r w:rsidRPr="005F7ED7">
        <w:rPr>
          <w:rFonts w:ascii="Times New Roman" w:hAnsi="Times New Roman" w:cs="Times New Roman"/>
          <w:color w:val="auto"/>
        </w:rPr>
        <w:tab/>
        <w:t xml:space="preserve">uszczelnienie mechaniczne </w:t>
      </w:r>
      <w:proofErr w:type="spellStart"/>
      <w:r w:rsidRPr="005F7ED7">
        <w:rPr>
          <w:rFonts w:ascii="Times New Roman" w:hAnsi="Times New Roman" w:cs="Times New Roman"/>
          <w:color w:val="auto"/>
        </w:rPr>
        <w:t>SiC-SiC</w:t>
      </w:r>
      <w:proofErr w:type="spellEnd"/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Minimalna średnica prowadnic pomp:</w:t>
      </w:r>
      <w:r w:rsidRPr="005F7ED7">
        <w:rPr>
          <w:rFonts w:ascii="Times New Roman" w:hAnsi="Times New Roman" w:cs="Times New Roman"/>
          <w:color w:val="auto"/>
        </w:rPr>
        <w:tab/>
        <w:t>2 cale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 xml:space="preserve">Min stopień rozdrobnienia: </w:t>
      </w:r>
      <w:r w:rsidRPr="005F7ED7">
        <w:rPr>
          <w:rFonts w:ascii="Times New Roman" w:hAnsi="Times New Roman" w:cs="Times New Roman"/>
          <w:color w:val="auto"/>
        </w:rPr>
        <w:tab/>
        <w:t>2mm</w:t>
      </w:r>
    </w:p>
    <w:p w:rsidR="005F7ED7" w:rsidRPr="005F7ED7" w:rsidRDefault="005F7ED7" w:rsidP="005F7ED7">
      <w:pPr>
        <w:numPr>
          <w:ilvl w:val="0"/>
          <w:numId w:val="1"/>
        </w:numPr>
        <w:tabs>
          <w:tab w:val="clear" w:pos="360"/>
          <w:tab w:val="num" w:pos="426"/>
          <w:tab w:val="left" w:pos="2269"/>
        </w:tabs>
        <w:suppressAutoHyphens w:val="0"/>
        <w:spacing w:line="240" w:lineRule="atLeast"/>
        <w:ind w:left="4395" w:hanging="4395"/>
        <w:rPr>
          <w:rFonts w:ascii="Times New Roman" w:hAnsi="Times New Roman" w:cs="Times New Roman"/>
          <w:snapToGrid w:val="0"/>
          <w:color w:val="auto"/>
        </w:rPr>
      </w:pPr>
      <w:r w:rsidRPr="005F7ED7">
        <w:rPr>
          <w:rFonts w:ascii="Times New Roman" w:hAnsi="Times New Roman" w:cs="Times New Roman"/>
          <w:color w:val="auto"/>
        </w:rPr>
        <w:t>Wykonanie</w:t>
      </w:r>
      <w:r w:rsidRPr="005F7ED7">
        <w:rPr>
          <w:rFonts w:ascii="Times New Roman" w:hAnsi="Times New Roman" w:cs="Times New Roman"/>
          <w:snapToGrid w:val="0"/>
          <w:color w:val="auto"/>
        </w:rPr>
        <w:t xml:space="preserve"> materiałowe pompy:</w:t>
      </w:r>
    </w:p>
    <w:p w:rsidR="005F7ED7" w:rsidRPr="005F7ED7" w:rsidRDefault="005F7ED7" w:rsidP="005F7ED7">
      <w:pPr>
        <w:tabs>
          <w:tab w:val="left" w:pos="2269"/>
        </w:tabs>
        <w:spacing w:line="36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Korpus silnika: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Korpus tłoczny: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Wirnik: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Płyta dolna: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żeliwo EN-GJL-250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Wał: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1.4021 (AISI 420)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Elementy złączne: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>1.4401 (AISI 316)</w:t>
      </w:r>
    </w:p>
    <w:p w:rsidR="005F7ED7" w:rsidRPr="005F7ED7" w:rsidRDefault="005F7ED7" w:rsidP="005F7ED7">
      <w:pPr>
        <w:tabs>
          <w:tab w:val="left" w:pos="2269"/>
        </w:tabs>
        <w:spacing w:line="240" w:lineRule="atLeast"/>
        <w:ind w:left="360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Nóż i pierścień tnący</w:t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</w:r>
      <w:r w:rsidRPr="005F7ED7">
        <w:rPr>
          <w:rFonts w:ascii="Times New Roman" w:hAnsi="Times New Roman" w:cs="Times New Roman"/>
        </w:rPr>
        <w:tab/>
        <w:t xml:space="preserve">1.4528 o twardości min </w:t>
      </w:r>
      <w:proofErr w:type="spellStart"/>
      <w:r w:rsidRPr="005F7ED7">
        <w:rPr>
          <w:rFonts w:ascii="Times New Roman" w:hAnsi="Times New Roman" w:cs="Times New Roman"/>
        </w:rPr>
        <w:t>min</w:t>
      </w:r>
      <w:proofErr w:type="spellEnd"/>
      <w:r w:rsidRPr="005F7ED7">
        <w:rPr>
          <w:rFonts w:ascii="Times New Roman" w:hAnsi="Times New Roman" w:cs="Times New Roman"/>
        </w:rPr>
        <w:t xml:space="preserve">. 58 HRC  b </w:t>
      </w:r>
      <w:proofErr w:type="spellStart"/>
      <w:r w:rsidRPr="005F7ED7">
        <w:rPr>
          <w:rFonts w:ascii="Times New Roman" w:hAnsi="Times New Roman" w:cs="Times New Roman"/>
        </w:rPr>
        <w:t>b</w:t>
      </w:r>
      <w:proofErr w:type="spellEnd"/>
    </w:p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iCs/>
          <w:snapToGrid w:val="0"/>
          <w:color w:val="auto"/>
        </w:rPr>
      </w:pPr>
    </w:p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lastRenderedPageBreak/>
        <w:t>Szczegółowe wymagania pomp</w:t>
      </w:r>
    </w:p>
    <w:p w:rsid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P1 Sadurki: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757"/>
        <w:gridCol w:w="4737"/>
      </w:tblGrid>
      <w:tr w:rsidR="00211287" w:rsidTr="00A53ADB">
        <w:tc>
          <w:tcPr>
            <w:tcW w:w="4889" w:type="dxa"/>
            <w:vAlign w:val="center"/>
          </w:tcPr>
          <w:p w:rsidR="00211287" w:rsidRDefault="00211287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Znamionowa moc silnika P1/P2:</w:t>
            </w:r>
          </w:p>
        </w:tc>
        <w:tc>
          <w:tcPr>
            <w:tcW w:w="4889" w:type="dxa"/>
            <w:vAlign w:val="center"/>
          </w:tcPr>
          <w:p w:rsidR="00211287" w:rsidRPr="00A53ADB" w:rsidRDefault="00211287" w:rsidP="00A53ADB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7,47/7,0 kW</w:t>
            </w:r>
          </w:p>
        </w:tc>
      </w:tr>
      <w:tr w:rsidR="00211287" w:rsidTr="00A53ADB">
        <w:tc>
          <w:tcPr>
            <w:tcW w:w="4889" w:type="dxa"/>
            <w:vAlign w:val="center"/>
          </w:tcPr>
          <w:p w:rsidR="00211287" w:rsidRDefault="00211287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Prąd znamionowy:</w:t>
            </w:r>
          </w:p>
        </w:tc>
        <w:tc>
          <w:tcPr>
            <w:tcW w:w="4889" w:type="dxa"/>
            <w:vAlign w:val="center"/>
          </w:tcPr>
          <w:p w:rsidR="00211287" w:rsidRPr="00211287" w:rsidRDefault="00211287" w:rsidP="00211287">
            <w:pPr>
              <w:tabs>
                <w:tab w:val="num" w:pos="426"/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13,48A</w:t>
            </w:r>
          </w:p>
        </w:tc>
      </w:tr>
      <w:tr w:rsidR="00211287" w:rsidTr="00A53ADB">
        <w:tc>
          <w:tcPr>
            <w:tcW w:w="4889" w:type="dxa"/>
            <w:vAlign w:val="center"/>
          </w:tcPr>
          <w:p w:rsidR="00211287" w:rsidRDefault="00A53ADB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Sprawność silnika 100%</w:t>
            </w:r>
          </w:p>
        </w:tc>
        <w:tc>
          <w:tcPr>
            <w:tcW w:w="4889" w:type="dxa"/>
            <w:vAlign w:val="center"/>
          </w:tcPr>
          <w:p w:rsidR="00211287" w:rsidRPr="00A53ADB" w:rsidRDefault="00A53ADB" w:rsidP="00A53ADB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90,43%</w:t>
            </w:r>
          </w:p>
        </w:tc>
      </w:tr>
      <w:tr w:rsidR="00211287" w:rsidTr="00A53ADB">
        <w:tc>
          <w:tcPr>
            <w:tcW w:w="4889" w:type="dxa"/>
            <w:vAlign w:val="center"/>
          </w:tcPr>
          <w:p w:rsidR="00211287" w:rsidRDefault="00A53ADB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Średnica króćca tłocznego:</w:t>
            </w:r>
          </w:p>
        </w:tc>
        <w:tc>
          <w:tcPr>
            <w:tcW w:w="4889" w:type="dxa"/>
            <w:vAlign w:val="center"/>
          </w:tcPr>
          <w:p w:rsidR="00211287" w:rsidRPr="00A53ADB" w:rsidRDefault="00A53ADB" w:rsidP="00A53ADB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DN 80</w:t>
            </w:r>
          </w:p>
        </w:tc>
      </w:tr>
      <w:tr w:rsidR="00211287" w:rsidTr="00A53ADB">
        <w:tc>
          <w:tcPr>
            <w:tcW w:w="4889" w:type="dxa"/>
            <w:vAlign w:val="center"/>
          </w:tcPr>
          <w:p w:rsidR="00211287" w:rsidRDefault="00A53ADB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Wirnik</w:t>
            </w:r>
            <w:r w:rsidRPr="005F7ED7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889" w:type="dxa"/>
            <w:vAlign w:val="center"/>
          </w:tcPr>
          <w:p w:rsidR="00211287" w:rsidRDefault="00A53ADB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7ED7">
              <w:rPr>
                <w:rFonts w:ascii="Times New Roman" w:hAnsi="Times New Roman" w:cs="Times New Roman"/>
                <w:color w:val="auto"/>
              </w:rPr>
              <w:t>Vortex</w:t>
            </w:r>
            <w:proofErr w:type="spellEnd"/>
          </w:p>
        </w:tc>
      </w:tr>
      <w:tr w:rsidR="00211287" w:rsidTr="00A53ADB">
        <w:tc>
          <w:tcPr>
            <w:tcW w:w="4889" w:type="dxa"/>
            <w:vAlign w:val="center"/>
          </w:tcPr>
          <w:p w:rsidR="00211287" w:rsidRDefault="00A53ADB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Wymiar ciał stałych (niezmienny w pełnym zakresie pracy i postoju)</w:t>
            </w:r>
          </w:p>
        </w:tc>
        <w:tc>
          <w:tcPr>
            <w:tcW w:w="4889" w:type="dxa"/>
            <w:vAlign w:val="center"/>
          </w:tcPr>
          <w:p w:rsidR="00211287" w:rsidRDefault="00A53ADB" w:rsidP="005F7ED7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65 mm</w:t>
            </w:r>
          </w:p>
        </w:tc>
      </w:tr>
    </w:tbl>
    <w:p w:rsid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Sadurki: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757"/>
        <w:gridCol w:w="4737"/>
      </w:tblGrid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Znamionowa moc silnika P1/P2: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1,93/1,3 kW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Prąd znamionowy:</w:t>
            </w:r>
          </w:p>
        </w:tc>
        <w:tc>
          <w:tcPr>
            <w:tcW w:w="4889" w:type="dxa"/>
            <w:vAlign w:val="center"/>
          </w:tcPr>
          <w:p w:rsidR="00A53ADB" w:rsidRPr="00211287" w:rsidRDefault="00A53ADB" w:rsidP="00A64235">
            <w:pPr>
              <w:tabs>
                <w:tab w:val="num" w:pos="426"/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3,6A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Sprawność silnika 100%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67,2%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Średnica króćca tłocznego: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DN 80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Wirnik</w:t>
            </w:r>
            <w:r w:rsidRPr="005F7ED7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5F7ED7">
              <w:rPr>
                <w:rFonts w:ascii="Times New Roman" w:hAnsi="Times New Roman" w:cs="Times New Roman"/>
                <w:color w:val="auto"/>
              </w:rPr>
              <w:t>Vortex</w:t>
            </w:r>
            <w:proofErr w:type="spellEnd"/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Wymiar ciał stałych (niezmienny w pełnym zakresie pracy i postoju)</w:t>
            </w:r>
          </w:p>
        </w:tc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6</w:t>
            </w:r>
            <w:r>
              <w:rPr>
                <w:rFonts w:ascii="Times New Roman" w:hAnsi="Times New Roman" w:cs="Times New Roman"/>
                <w:color w:val="auto"/>
              </w:rPr>
              <w:t>0</w:t>
            </w:r>
            <w:r w:rsidRPr="00211287">
              <w:rPr>
                <w:rFonts w:ascii="Times New Roman" w:hAnsi="Times New Roman" w:cs="Times New Roman"/>
                <w:color w:val="auto"/>
              </w:rPr>
              <w:t xml:space="preserve"> mm</w:t>
            </w:r>
          </w:p>
        </w:tc>
      </w:tr>
    </w:tbl>
    <w:p w:rsid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P4 Sadurki: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751"/>
        <w:gridCol w:w="4743"/>
      </w:tblGrid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Znamionowa moc silnika P1/P2: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3,74/3,0 kW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Prąd znamionowy:</w:t>
            </w:r>
          </w:p>
        </w:tc>
        <w:tc>
          <w:tcPr>
            <w:tcW w:w="4889" w:type="dxa"/>
            <w:vAlign w:val="center"/>
          </w:tcPr>
          <w:p w:rsidR="00A53ADB" w:rsidRPr="00211287" w:rsidRDefault="00A53ADB" w:rsidP="00A64235">
            <w:pPr>
              <w:tabs>
                <w:tab w:val="num" w:pos="426"/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6,32A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Sprawność silnika 100%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80,2%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Średnica króćca tłocznego: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DN 80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Wirnik</w:t>
            </w:r>
            <w:r w:rsidRPr="005F7ED7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kanałowy typu otwartego z regulowaną szczeliną przy pomocy śrub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Wymiar ciał stałych (niezmienny w pełnym zakresie pracy i postoju)</w:t>
            </w:r>
          </w:p>
        </w:tc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auto"/>
              </w:rPr>
              <w:t>45</w:t>
            </w:r>
            <w:r w:rsidRPr="00211287">
              <w:rPr>
                <w:rFonts w:ascii="Times New Roman" w:hAnsi="Times New Roman" w:cs="Times New Roman"/>
                <w:color w:val="auto"/>
              </w:rPr>
              <w:t xml:space="preserve"> mm</w:t>
            </w:r>
          </w:p>
        </w:tc>
      </w:tr>
    </w:tbl>
    <w:p w:rsid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5F7ED7">
        <w:rPr>
          <w:rFonts w:ascii="Times New Roman" w:hAnsi="Times New Roman" w:cs="Times New Roman"/>
          <w:b/>
        </w:rPr>
        <w:t>P6 Sadurki: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751"/>
        <w:gridCol w:w="4743"/>
      </w:tblGrid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Znamionowa moc silnika P1/P2: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3,74/3,0 kW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Prąd znamionowy:</w:t>
            </w:r>
          </w:p>
        </w:tc>
        <w:tc>
          <w:tcPr>
            <w:tcW w:w="4889" w:type="dxa"/>
            <w:vAlign w:val="center"/>
          </w:tcPr>
          <w:p w:rsidR="00A53ADB" w:rsidRPr="00211287" w:rsidRDefault="00A53ADB" w:rsidP="00A64235">
            <w:pPr>
              <w:tabs>
                <w:tab w:val="num" w:pos="426"/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6,32A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Sprawność silnika 100%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80,2%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Średnica króćca tłocznego:</w:t>
            </w:r>
          </w:p>
        </w:tc>
        <w:tc>
          <w:tcPr>
            <w:tcW w:w="4889" w:type="dxa"/>
            <w:vAlign w:val="center"/>
          </w:tcPr>
          <w:p w:rsidR="00A53ADB" w:rsidRPr="00A53ADB" w:rsidRDefault="00A53ADB" w:rsidP="00A64235">
            <w:pPr>
              <w:tabs>
                <w:tab w:val="left" w:pos="2269"/>
              </w:tabs>
              <w:suppressAutoHyphens w:val="0"/>
              <w:spacing w:line="240" w:lineRule="atLeast"/>
              <w:rPr>
                <w:rFonts w:ascii="Times New Roman" w:hAnsi="Times New Roman" w:cs="Times New Roman"/>
                <w:color w:val="auto"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DN 80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Wirnik</w:t>
            </w:r>
            <w:r w:rsidRPr="005F7ED7">
              <w:rPr>
                <w:rFonts w:ascii="Times New Roman" w:hAnsi="Times New Roman" w:cs="Times New Roman"/>
                <w:color w:val="auto"/>
              </w:rPr>
              <w:tab/>
            </w:r>
          </w:p>
        </w:tc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5F7ED7">
              <w:rPr>
                <w:rFonts w:ascii="Times New Roman" w:hAnsi="Times New Roman" w:cs="Times New Roman"/>
                <w:color w:val="auto"/>
              </w:rPr>
              <w:t>kanałowy typu otwartego z regulowaną szczeliną przy pomocy śrub</w:t>
            </w:r>
          </w:p>
        </w:tc>
      </w:tr>
      <w:tr w:rsidR="00A53ADB" w:rsidTr="00A64235"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211287">
              <w:rPr>
                <w:rFonts w:ascii="Times New Roman" w:hAnsi="Times New Roman" w:cs="Times New Roman"/>
                <w:color w:val="auto"/>
              </w:rPr>
              <w:t>Wymiar ciał stałych (niezmienny w pełnym zakresie pracy i postoju)</w:t>
            </w:r>
          </w:p>
        </w:tc>
        <w:tc>
          <w:tcPr>
            <w:tcW w:w="4889" w:type="dxa"/>
            <w:vAlign w:val="center"/>
          </w:tcPr>
          <w:p w:rsidR="00A53ADB" w:rsidRDefault="00A53ADB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auto"/>
              </w:rPr>
              <w:t>45</w:t>
            </w:r>
            <w:r w:rsidRPr="00211287">
              <w:rPr>
                <w:rFonts w:ascii="Times New Roman" w:hAnsi="Times New Roman" w:cs="Times New Roman"/>
                <w:color w:val="auto"/>
              </w:rPr>
              <w:t xml:space="preserve"> mm</w:t>
            </w:r>
          </w:p>
        </w:tc>
      </w:tr>
    </w:tbl>
    <w:p w:rsidR="00A53ADB" w:rsidRPr="005F7ED7" w:rsidRDefault="00A53ADB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</w:rPr>
      </w:pPr>
    </w:p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before="120" w:line="240" w:lineRule="atLeast"/>
        <w:ind w:left="360"/>
        <w:jc w:val="both"/>
        <w:rPr>
          <w:rFonts w:ascii="Times New Roman" w:hAnsi="Times New Roman" w:cs="Times New Roman"/>
          <w:b/>
          <w:iCs/>
          <w:snapToGrid w:val="0"/>
          <w:color w:val="auto"/>
        </w:rPr>
      </w:pPr>
      <w:r w:rsidRPr="005F7ED7">
        <w:rPr>
          <w:rFonts w:ascii="Times New Roman" w:hAnsi="Times New Roman" w:cs="Times New Roman"/>
          <w:b/>
          <w:iCs/>
          <w:snapToGrid w:val="0"/>
          <w:color w:val="auto"/>
        </w:rPr>
        <w:lastRenderedPageBreak/>
        <w:t>PARAMETRY PRACY POMP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"/>
        <w:gridCol w:w="1457"/>
        <w:gridCol w:w="1642"/>
        <w:gridCol w:w="1196"/>
        <w:gridCol w:w="1787"/>
        <w:gridCol w:w="1496"/>
      </w:tblGrid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Nazwa pompowni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proofErr w:type="spellStart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</w:t>
            </w:r>
            <w:proofErr w:type="spellEnd"/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proofErr w:type="spellStart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Hp</w:t>
            </w:r>
            <w:proofErr w:type="spellEnd"/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Wysokość geometryczna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 xml:space="preserve">H </w:t>
            </w:r>
            <w:proofErr w:type="spellStart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str.I</w:t>
            </w:r>
            <w:proofErr w:type="spellEnd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 xml:space="preserve"> +M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Straty rurociągu policzono dla rury PEHD PN10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before="120"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Długość rurociągu tłocznego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PS1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proofErr w:type="spellStart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</w:t>
            </w:r>
            <w:proofErr w:type="spellEnd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 xml:space="preserve"> = 4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24,42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15,55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8,87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90x79,2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750,0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PS2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proofErr w:type="spellStart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</w:t>
            </w:r>
            <w:proofErr w:type="spellEnd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 xml:space="preserve"> = 4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5,56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5,02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0,54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90x79,2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50,0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PS3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proofErr w:type="spellStart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</w:t>
            </w:r>
            <w:proofErr w:type="spellEnd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 xml:space="preserve"> = 2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10,56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5,92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4,64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63x55,4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240,0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PS4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proofErr w:type="spellStart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</w:t>
            </w:r>
            <w:proofErr w:type="spellEnd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 xml:space="preserve"> = 7,6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15,37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12,05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3,32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SDR17 125x110,2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440,0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PS5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proofErr w:type="spellStart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</w:t>
            </w:r>
            <w:proofErr w:type="spellEnd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 xml:space="preserve"> = 2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10,59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5,75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4,84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63x55,4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250,0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PS6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proofErr w:type="spellStart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</w:t>
            </w:r>
            <w:proofErr w:type="spellEnd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 xml:space="preserve"> = 4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17,78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7,6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10,18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90x79,2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860,0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Po1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proofErr w:type="spellStart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</w:t>
            </w:r>
            <w:proofErr w:type="spellEnd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 xml:space="preserve"> = 2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6,3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2,7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3,1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63x55,4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180,0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Po2 Sadurki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proofErr w:type="spellStart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</w:t>
            </w:r>
            <w:proofErr w:type="spellEnd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 xml:space="preserve"> = 2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4,12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2,95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1,17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SDR17 63x55,4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60,0 m</w:t>
            </w:r>
          </w:p>
        </w:tc>
      </w:tr>
      <w:tr w:rsidR="005F7ED7" w:rsidRPr="005F7ED7" w:rsidTr="00A64235">
        <w:tc>
          <w:tcPr>
            <w:tcW w:w="151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Sadurki (istniejąca pompownia)</w:t>
            </w:r>
          </w:p>
        </w:tc>
        <w:tc>
          <w:tcPr>
            <w:tcW w:w="145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proofErr w:type="spellStart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Qp</w:t>
            </w:r>
            <w:proofErr w:type="spellEnd"/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 xml:space="preserve"> = 2,8 l/s</w:t>
            </w:r>
          </w:p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 = 18,6 m</w:t>
            </w:r>
          </w:p>
        </w:tc>
        <w:tc>
          <w:tcPr>
            <w:tcW w:w="1533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Hg = 11,8 m</w:t>
            </w:r>
          </w:p>
        </w:tc>
        <w:tc>
          <w:tcPr>
            <w:tcW w:w="11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6,8 m</w:t>
            </w:r>
          </w:p>
        </w:tc>
        <w:tc>
          <w:tcPr>
            <w:tcW w:w="1787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-------------------</w:t>
            </w:r>
          </w:p>
        </w:tc>
        <w:tc>
          <w:tcPr>
            <w:tcW w:w="1496" w:type="dxa"/>
          </w:tcPr>
          <w:p w:rsidR="005F7ED7" w:rsidRPr="005F7ED7" w:rsidRDefault="005F7ED7" w:rsidP="00A64235">
            <w:pPr>
              <w:widowControl w:val="0"/>
              <w:tabs>
                <w:tab w:val="left" w:pos="709"/>
                <w:tab w:val="left" w:pos="900"/>
                <w:tab w:val="left" w:pos="1080"/>
                <w:tab w:val="left" w:pos="12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</w:pPr>
            <w:r w:rsidRPr="005F7ED7">
              <w:rPr>
                <w:rFonts w:ascii="Times New Roman" w:hAnsi="Times New Roman" w:cs="Times New Roman"/>
                <w:b/>
                <w:iCs/>
                <w:snapToGrid w:val="0"/>
                <w:color w:val="auto"/>
              </w:rPr>
              <w:t>L = 450,0 m</w:t>
            </w:r>
          </w:p>
        </w:tc>
      </w:tr>
    </w:tbl>
    <w:p w:rsidR="005F7ED7" w:rsidRPr="005F7ED7" w:rsidRDefault="005F7ED7" w:rsidP="005F7ED7">
      <w:pPr>
        <w:widowControl w:val="0"/>
        <w:tabs>
          <w:tab w:val="left" w:pos="709"/>
          <w:tab w:val="left" w:pos="900"/>
          <w:tab w:val="left" w:pos="1080"/>
          <w:tab w:val="left" w:pos="12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line="240" w:lineRule="atLeast"/>
        <w:ind w:left="360"/>
        <w:jc w:val="both"/>
        <w:rPr>
          <w:rFonts w:ascii="Times New Roman" w:hAnsi="Times New Roman" w:cs="Times New Roman"/>
          <w:iCs/>
          <w:snapToGrid w:val="0"/>
          <w:color w:val="auto"/>
        </w:rPr>
      </w:pPr>
    </w:p>
    <w:p w:rsidR="005F7ED7" w:rsidRPr="005F7ED7" w:rsidRDefault="005F7ED7" w:rsidP="002577AA">
      <w:pPr>
        <w:jc w:val="both"/>
        <w:rPr>
          <w:rFonts w:ascii="Times New Roman" w:hAnsi="Times New Roman" w:cs="Times New Roman"/>
        </w:rPr>
      </w:pPr>
    </w:p>
    <w:p w:rsidR="005F7ED7" w:rsidRPr="005F7ED7" w:rsidRDefault="005F7ED7" w:rsidP="002577AA">
      <w:pPr>
        <w:jc w:val="both"/>
        <w:rPr>
          <w:rFonts w:ascii="Times New Roman" w:hAnsi="Times New Roman" w:cs="Times New Roman"/>
        </w:rPr>
      </w:pPr>
    </w:p>
    <w:p w:rsidR="003C7353" w:rsidRPr="005F7ED7" w:rsidRDefault="00DF2296" w:rsidP="005F7ED7">
      <w:pPr>
        <w:jc w:val="both"/>
        <w:rPr>
          <w:rFonts w:ascii="Times New Roman" w:hAnsi="Times New Roman" w:cs="Times New Roman"/>
        </w:rPr>
      </w:pPr>
      <w:r w:rsidRPr="005F7ED7">
        <w:rPr>
          <w:rFonts w:ascii="Times New Roman" w:hAnsi="Times New Roman" w:cs="Times New Roman"/>
        </w:rPr>
        <w:t>Ewentualne podane w opisach nazwy własne/referencyjne nie naruszają zatem art. 29 i 7 ustawy z dnia 29 stycznia 2004 r. Prawo zamówień publicznych (Dz.U. z 201</w:t>
      </w:r>
      <w:r w:rsidR="005F7ED7" w:rsidRPr="005F7ED7">
        <w:rPr>
          <w:rFonts w:ascii="Times New Roman" w:hAnsi="Times New Roman" w:cs="Times New Roman"/>
        </w:rPr>
        <w:t>9</w:t>
      </w:r>
      <w:r w:rsidRPr="005F7ED7">
        <w:rPr>
          <w:rFonts w:ascii="Times New Roman" w:hAnsi="Times New Roman" w:cs="Times New Roman"/>
        </w:rPr>
        <w:t xml:space="preserve"> r., poz. 1</w:t>
      </w:r>
      <w:r w:rsidR="005F7ED7" w:rsidRPr="005F7ED7">
        <w:rPr>
          <w:rFonts w:ascii="Times New Roman" w:hAnsi="Times New Roman" w:cs="Times New Roman"/>
        </w:rPr>
        <w:t>84</w:t>
      </w:r>
      <w:r w:rsidR="00E052F8">
        <w:rPr>
          <w:rFonts w:ascii="Times New Roman" w:hAnsi="Times New Roman" w:cs="Times New Roman"/>
        </w:rPr>
        <w:t>3</w:t>
      </w:r>
      <w:r w:rsidRPr="005F7ED7">
        <w:rPr>
          <w:rFonts w:ascii="Times New Roman" w:hAnsi="Times New Roman" w:cs="Times New Roman"/>
        </w:rPr>
        <w:t xml:space="preserve"> z późn.zm.), </w:t>
      </w:r>
      <w:r w:rsidRPr="005F7ED7">
        <w:rPr>
          <w:rFonts w:ascii="Times New Roman" w:hAnsi="Times New Roman" w:cs="Times New Roman"/>
        </w:rPr>
        <w:br/>
        <w:t>a mają jedynie za zadanie sprecyzowanie oczekiwań jakościowych i technologicznych Zamawiającego. Dopuszcza się rozwiązania równoważne pod warunkiem spełnienia tego samego poziomu technologicznego</w:t>
      </w:r>
      <w:r w:rsidR="005F7ED7" w:rsidRPr="005F7ED7">
        <w:rPr>
          <w:rFonts w:ascii="Times New Roman" w:hAnsi="Times New Roman" w:cs="Times New Roman"/>
        </w:rPr>
        <w:t>,</w:t>
      </w:r>
      <w:r w:rsidRPr="005F7ED7">
        <w:rPr>
          <w:rFonts w:ascii="Times New Roman" w:hAnsi="Times New Roman" w:cs="Times New Roman"/>
        </w:rPr>
        <w:t xml:space="preserve"> wydajnościowego i funkcjonalnego założonego w projekcie. Oferowane materiały i urządzenia równoważne nie mogą spowodować zwiększenia kosztów eksploatacyjnych obiektu bardziej niż założone w dokumentacji projektowej.</w:t>
      </w:r>
    </w:p>
    <w:p w:rsidR="003C7353" w:rsidRPr="005F7ED7" w:rsidRDefault="003C7353" w:rsidP="002577AA">
      <w:pPr>
        <w:rPr>
          <w:rFonts w:ascii="Times New Roman" w:hAnsi="Times New Roman" w:cs="Times New Roman"/>
        </w:rPr>
      </w:pPr>
    </w:p>
    <w:p w:rsidR="003C7353" w:rsidRPr="005F7ED7" w:rsidRDefault="003C7353" w:rsidP="002577AA">
      <w:pPr>
        <w:rPr>
          <w:rFonts w:ascii="Times New Roman" w:hAnsi="Times New Roman" w:cs="Times New Roman"/>
        </w:rPr>
      </w:pPr>
    </w:p>
    <w:p w:rsidR="003C7353" w:rsidRPr="005F7ED7" w:rsidRDefault="003C7353" w:rsidP="002577AA">
      <w:pPr>
        <w:rPr>
          <w:rFonts w:ascii="Times New Roman" w:hAnsi="Times New Roman" w:cs="Times New Roman"/>
        </w:rPr>
      </w:pPr>
    </w:p>
    <w:p w:rsidR="003C7353" w:rsidRPr="005F7ED7" w:rsidRDefault="003C7353" w:rsidP="002577AA">
      <w:pPr>
        <w:rPr>
          <w:rFonts w:ascii="Times New Roman" w:hAnsi="Times New Roman" w:cs="Times New Roman"/>
        </w:rPr>
      </w:pPr>
    </w:p>
    <w:sectPr w:rsidR="003C7353" w:rsidRPr="005F7ED7">
      <w:headerReference w:type="default" r:id="rId8"/>
      <w:pgSz w:w="11906" w:h="16838"/>
      <w:pgMar w:top="1134" w:right="1134" w:bottom="851" w:left="1134" w:header="0" w:footer="0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CF2" w:rsidRDefault="00E56CF2" w:rsidP="005F7ED7">
      <w:r>
        <w:separator/>
      </w:r>
    </w:p>
  </w:endnote>
  <w:endnote w:type="continuationSeparator" w:id="0">
    <w:p w:rsidR="00E56CF2" w:rsidRDefault="00E56CF2" w:rsidP="005F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CF2" w:rsidRDefault="00E56CF2" w:rsidP="005F7ED7">
      <w:r>
        <w:separator/>
      </w:r>
    </w:p>
  </w:footnote>
  <w:footnote w:type="continuationSeparator" w:id="0">
    <w:p w:rsidR="00E56CF2" w:rsidRDefault="00E56CF2" w:rsidP="005F7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ED7" w:rsidRDefault="005F7ED7">
    <w:pPr>
      <w:pStyle w:val="Nagwek"/>
      <w:rPr>
        <w:rFonts w:hint="eastAsia"/>
      </w:rPr>
    </w:pPr>
    <w:r>
      <w:rPr>
        <w:noProof/>
        <w:lang w:eastAsia="pl-PL"/>
      </w:rPr>
      <w:drawing>
        <wp:inline distT="0" distB="0" distL="0" distR="0" wp14:anchorId="4F7DA3E3" wp14:editId="22051156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025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353"/>
    <w:rsid w:val="000C45D9"/>
    <w:rsid w:val="00177217"/>
    <w:rsid w:val="00211287"/>
    <w:rsid w:val="002577AA"/>
    <w:rsid w:val="002F136C"/>
    <w:rsid w:val="00307A96"/>
    <w:rsid w:val="003C7353"/>
    <w:rsid w:val="005F7ED7"/>
    <w:rsid w:val="006902D6"/>
    <w:rsid w:val="006F0649"/>
    <w:rsid w:val="00723C14"/>
    <w:rsid w:val="00882EDE"/>
    <w:rsid w:val="00887F87"/>
    <w:rsid w:val="009B6A48"/>
    <w:rsid w:val="00A53ADB"/>
    <w:rsid w:val="00BF26D5"/>
    <w:rsid w:val="00DF0B3A"/>
    <w:rsid w:val="00DF2296"/>
    <w:rsid w:val="00E052F8"/>
    <w:rsid w:val="00E442E7"/>
    <w:rsid w:val="00E5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99996"/>
  <w15:docId w15:val="{105E0B1F-510A-4E8E-8D86-56D4B31A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;宋体"/>
      <w:color w:val="00000A"/>
      <w:kern w:val="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qFormat/>
    <w:rPr>
      <w:rFonts w:ascii="Times New Roman" w:hAnsi="Times New Roman" w:cs="Times New Roman"/>
      <w:b/>
      <w:spacing w:val="0"/>
      <w:sz w:val="22"/>
    </w:rPr>
  </w:style>
  <w:style w:type="character" w:customStyle="1" w:styleId="Teksttreci4135pt">
    <w:name w:val="Tekst treści (4) + 13;5 pt"/>
    <w:qFormat/>
    <w:rPr>
      <w:rFonts w:ascii="Times New Roman" w:hAnsi="Times New Roman" w:cs="Times New Roman"/>
      <w:b/>
      <w:spacing w:val="0"/>
      <w:sz w:val="27"/>
    </w:rPr>
  </w:style>
  <w:style w:type="character" w:customStyle="1" w:styleId="Nagwek3">
    <w:name w:val="Nagłówek #3_"/>
    <w:qFormat/>
    <w:rPr>
      <w:rFonts w:ascii="Times New Roman" w:hAnsi="Times New Roman" w:cs="Times New Roman"/>
      <w:spacing w:val="0"/>
      <w:sz w:val="27"/>
    </w:rPr>
  </w:style>
  <w:style w:type="character" w:customStyle="1" w:styleId="Nagwek311pt">
    <w:name w:val="Nagłówek #3 + 11 pt"/>
    <w:qFormat/>
    <w:rPr>
      <w:rFonts w:ascii="Times New Roman" w:hAnsi="Times New Roman" w:cs="Times New Roman"/>
      <w:spacing w:val="0"/>
      <w:sz w:val="22"/>
    </w:rPr>
  </w:style>
  <w:style w:type="character" w:customStyle="1" w:styleId="PogrubienieNagwek311pt">
    <w:name w:val="Pogrubienie;Nagłówek #3 + 11 pt"/>
    <w:qFormat/>
    <w:rPr>
      <w:rFonts w:ascii="Times New Roman" w:hAnsi="Times New Roman" w:cs="Times New Roman"/>
      <w:b/>
      <w:spacing w:val="0"/>
      <w:sz w:val="22"/>
    </w:rPr>
  </w:style>
  <w:style w:type="character" w:customStyle="1" w:styleId="ListLabel3929">
    <w:name w:val="ListLabel 3929"/>
    <w:qFormat/>
    <w:rPr>
      <w:rFonts w:ascii="Times New Roman" w:hAnsi="Times New Roman" w:cs="OpenSymbol"/>
    </w:rPr>
  </w:style>
  <w:style w:type="character" w:customStyle="1" w:styleId="ListLabel3930">
    <w:name w:val="ListLabel 3930"/>
    <w:qFormat/>
    <w:rPr>
      <w:rFonts w:ascii="Times New Roman" w:hAnsi="Times New Roman" w:cs="OpenSymbol"/>
    </w:rPr>
  </w:style>
  <w:style w:type="character" w:customStyle="1" w:styleId="ListLabel3931">
    <w:name w:val="ListLabel 3931"/>
    <w:qFormat/>
    <w:rPr>
      <w:rFonts w:cs="OpenSymbol"/>
    </w:rPr>
  </w:style>
  <w:style w:type="character" w:customStyle="1" w:styleId="ListLabel3932">
    <w:name w:val="ListLabel 3932"/>
    <w:qFormat/>
    <w:rPr>
      <w:rFonts w:cs="OpenSymbol"/>
    </w:rPr>
  </w:style>
  <w:style w:type="character" w:customStyle="1" w:styleId="ListLabel3933">
    <w:name w:val="ListLabel 3933"/>
    <w:qFormat/>
    <w:rPr>
      <w:rFonts w:cs="OpenSymbol"/>
    </w:rPr>
  </w:style>
  <w:style w:type="character" w:customStyle="1" w:styleId="ListLabel3934">
    <w:name w:val="ListLabel 3934"/>
    <w:qFormat/>
    <w:rPr>
      <w:rFonts w:cs="OpenSymbol"/>
    </w:rPr>
  </w:style>
  <w:style w:type="character" w:customStyle="1" w:styleId="ListLabel3935">
    <w:name w:val="ListLabel 3935"/>
    <w:qFormat/>
    <w:rPr>
      <w:rFonts w:cs="OpenSymbol"/>
    </w:rPr>
  </w:style>
  <w:style w:type="character" w:customStyle="1" w:styleId="ListLabel3936">
    <w:name w:val="ListLabel 3936"/>
    <w:qFormat/>
    <w:rPr>
      <w:rFonts w:cs="OpenSymbol"/>
    </w:rPr>
  </w:style>
  <w:style w:type="character" w:customStyle="1" w:styleId="ListLabel3937">
    <w:name w:val="ListLabel 3937"/>
    <w:qFormat/>
    <w:rPr>
      <w:rFonts w:cs="OpenSymbol"/>
    </w:rPr>
  </w:style>
  <w:style w:type="character" w:customStyle="1" w:styleId="ListLabel3956">
    <w:name w:val="ListLabel 3956"/>
    <w:qFormat/>
    <w:rPr>
      <w:rFonts w:ascii="Times New Roman" w:hAnsi="Times New Roman" w:cs="OpenSymbol"/>
    </w:rPr>
  </w:style>
  <w:style w:type="character" w:customStyle="1" w:styleId="ListLabel3957">
    <w:name w:val="ListLabel 3957"/>
    <w:qFormat/>
    <w:rPr>
      <w:rFonts w:cs="OpenSymbol"/>
    </w:rPr>
  </w:style>
  <w:style w:type="character" w:customStyle="1" w:styleId="ListLabel3958">
    <w:name w:val="ListLabel 3958"/>
    <w:qFormat/>
    <w:rPr>
      <w:rFonts w:cs="OpenSymbol"/>
    </w:rPr>
  </w:style>
  <w:style w:type="character" w:customStyle="1" w:styleId="ListLabel3959">
    <w:name w:val="ListLabel 3959"/>
    <w:qFormat/>
    <w:rPr>
      <w:rFonts w:cs="OpenSymbol"/>
    </w:rPr>
  </w:style>
  <w:style w:type="character" w:customStyle="1" w:styleId="ListLabel3960">
    <w:name w:val="ListLabel 3960"/>
    <w:qFormat/>
    <w:rPr>
      <w:rFonts w:cs="OpenSymbol"/>
    </w:rPr>
  </w:style>
  <w:style w:type="character" w:customStyle="1" w:styleId="ListLabel3961">
    <w:name w:val="ListLabel 3961"/>
    <w:qFormat/>
    <w:rPr>
      <w:rFonts w:cs="OpenSymbol"/>
    </w:rPr>
  </w:style>
  <w:style w:type="character" w:customStyle="1" w:styleId="ListLabel3962">
    <w:name w:val="ListLabel 3962"/>
    <w:qFormat/>
    <w:rPr>
      <w:rFonts w:cs="OpenSymbol"/>
    </w:rPr>
  </w:style>
  <w:style w:type="character" w:customStyle="1" w:styleId="ListLabel3963">
    <w:name w:val="ListLabel 3963"/>
    <w:qFormat/>
    <w:rPr>
      <w:rFonts w:cs="OpenSymbol"/>
    </w:rPr>
  </w:style>
  <w:style w:type="character" w:customStyle="1" w:styleId="ListLabel3964">
    <w:name w:val="ListLabel 3964"/>
    <w:qFormat/>
    <w:rPr>
      <w:rFonts w:cs="OpenSymbol"/>
    </w:rPr>
  </w:style>
  <w:style w:type="character" w:customStyle="1" w:styleId="ListLabel3920">
    <w:name w:val="ListLabel 3920"/>
    <w:qFormat/>
    <w:rPr>
      <w:rFonts w:ascii="Arial" w:hAnsi="Arial" w:cs="OpenSymbol"/>
      <w:sz w:val="22"/>
    </w:rPr>
  </w:style>
  <w:style w:type="character" w:customStyle="1" w:styleId="ListLabel3921">
    <w:name w:val="ListLabel 3921"/>
    <w:qFormat/>
    <w:rPr>
      <w:rFonts w:cs="Courier New"/>
      <w:sz w:val="20"/>
    </w:rPr>
  </w:style>
  <w:style w:type="character" w:customStyle="1" w:styleId="ListLabel3922">
    <w:name w:val="ListLabel 3922"/>
    <w:qFormat/>
    <w:rPr>
      <w:rFonts w:cs="Wingdings"/>
      <w:sz w:val="20"/>
    </w:rPr>
  </w:style>
  <w:style w:type="character" w:customStyle="1" w:styleId="ListLabel3923">
    <w:name w:val="ListLabel 3923"/>
    <w:qFormat/>
    <w:rPr>
      <w:rFonts w:cs="Wingdings"/>
      <w:sz w:val="20"/>
    </w:rPr>
  </w:style>
  <w:style w:type="character" w:customStyle="1" w:styleId="ListLabel3924">
    <w:name w:val="ListLabel 3924"/>
    <w:qFormat/>
    <w:rPr>
      <w:rFonts w:cs="Wingdings"/>
      <w:sz w:val="20"/>
    </w:rPr>
  </w:style>
  <w:style w:type="character" w:customStyle="1" w:styleId="ListLabel3925">
    <w:name w:val="ListLabel 3925"/>
    <w:qFormat/>
    <w:rPr>
      <w:rFonts w:cs="Wingdings"/>
      <w:sz w:val="20"/>
    </w:rPr>
  </w:style>
  <w:style w:type="character" w:customStyle="1" w:styleId="ListLabel3926">
    <w:name w:val="ListLabel 3926"/>
    <w:qFormat/>
    <w:rPr>
      <w:rFonts w:cs="Wingdings"/>
      <w:sz w:val="20"/>
    </w:rPr>
  </w:style>
  <w:style w:type="character" w:customStyle="1" w:styleId="ListLabel3927">
    <w:name w:val="ListLabel 3927"/>
    <w:qFormat/>
    <w:rPr>
      <w:rFonts w:cs="Wingdings"/>
      <w:sz w:val="20"/>
    </w:rPr>
  </w:style>
  <w:style w:type="character" w:customStyle="1" w:styleId="ListLabel3928">
    <w:name w:val="ListLabel 3928"/>
    <w:qFormat/>
    <w:rPr>
      <w:rFonts w:cs="Wingdings"/>
      <w:sz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3995">
    <w:name w:val="ListLabel 3995"/>
    <w:qFormat/>
    <w:rPr>
      <w:rFonts w:cs="OpenSymbol"/>
    </w:rPr>
  </w:style>
  <w:style w:type="character" w:customStyle="1" w:styleId="ListLabel3996">
    <w:name w:val="ListLabel 3996"/>
    <w:qFormat/>
    <w:rPr>
      <w:rFonts w:cs="OpenSymbol"/>
    </w:rPr>
  </w:style>
  <w:style w:type="character" w:customStyle="1" w:styleId="ListLabel3997">
    <w:name w:val="ListLabel 3997"/>
    <w:qFormat/>
    <w:rPr>
      <w:rFonts w:cs="OpenSymbol"/>
    </w:rPr>
  </w:style>
  <w:style w:type="character" w:customStyle="1" w:styleId="ListLabel3998">
    <w:name w:val="ListLabel 3998"/>
    <w:qFormat/>
    <w:rPr>
      <w:rFonts w:cs="OpenSymbol"/>
    </w:rPr>
  </w:style>
  <w:style w:type="character" w:customStyle="1" w:styleId="ListLabel3999">
    <w:name w:val="ListLabel 3999"/>
    <w:qFormat/>
    <w:rPr>
      <w:rFonts w:cs="OpenSymbol"/>
    </w:rPr>
  </w:style>
  <w:style w:type="character" w:customStyle="1" w:styleId="ListLabel4000">
    <w:name w:val="ListLabel 4000"/>
    <w:qFormat/>
    <w:rPr>
      <w:rFonts w:cs="OpenSymbol"/>
    </w:rPr>
  </w:style>
  <w:style w:type="character" w:customStyle="1" w:styleId="ListLabel4001">
    <w:name w:val="ListLabel 4001"/>
    <w:qFormat/>
    <w:rPr>
      <w:rFonts w:cs="OpenSymbol"/>
    </w:rPr>
  </w:style>
  <w:style w:type="character" w:customStyle="1" w:styleId="ListLabel4002">
    <w:name w:val="ListLabel 4002"/>
    <w:qFormat/>
    <w:rPr>
      <w:rFonts w:cs="OpenSymbol"/>
    </w:rPr>
  </w:style>
  <w:style w:type="character" w:customStyle="1" w:styleId="ListLabel3947">
    <w:name w:val="ListLabel 3947"/>
    <w:qFormat/>
    <w:rPr>
      <w:rFonts w:ascii="Times New Roman" w:hAnsi="Times New Roman" w:cs="OpenSymbol"/>
      <w:sz w:val="22"/>
    </w:rPr>
  </w:style>
  <w:style w:type="character" w:customStyle="1" w:styleId="ListLabel3948">
    <w:name w:val="ListLabel 3948"/>
    <w:qFormat/>
    <w:rPr>
      <w:rFonts w:cs="OpenSymbol"/>
    </w:rPr>
  </w:style>
  <w:style w:type="character" w:customStyle="1" w:styleId="ListLabel3949">
    <w:name w:val="ListLabel 3949"/>
    <w:qFormat/>
    <w:rPr>
      <w:rFonts w:cs="OpenSymbol"/>
    </w:rPr>
  </w:style>
  <w:style w:type="character" w:customStyle="1" w:styleId="ListLabel3950">
    <w:name w:val="ListLabel 3950"/>
    <w:qFormat/>
    <w:rPr>
      <w:rFonts w:cs="OpenSymbol"/>
    </w:rPr>
  </w:style>
  <w:style w:type="character" w:customStyle="1" w:styleId="ListLabel3951">
    <w:name w:val="ListLabel 3951"/>
    <w:qFormat/>
    <w:rPr>
      <w:rFonts w:cs="OpenSymbol"/>
    </w:rPr>
  </w:style>
  <w:style w:type="character" w:customStyle="1" w:styleId="ListLabel3952">
    <w:name w:val="ListLabel 3952"/>
    <w:qFormat/>
    <w:rPr>
      <w:rFonts w:cs="OpenSymbol"/>
    </w:rPr>
  </w:style>
  <w:style w:type="character" w:customStyle="1" w:styleId="ListLabel3953">
    <w:name w:val="ListLabel 3953"/>
    <w:qFormat/>
    <w:rPr>
      <w:rFonts w:cs="OpenSymbol"/>
    </w:rPr>
  </w:style>
  <w:style w:type="character" w:customStyle="1" w:styleId="ListLabel3954">
    <w:name w:val="ListLabel 3954"/>
    <w:qFormat/>
    <w:rPr>
      <w:rFonts w:cs="OpenSymbol"/>
    </w:rPr>
  </w:style>
  <w:style w:type="character" w:customStyle="1" w:styleId="ListLabel3955">
    <w:name w:val="ListLabel 3955"/>
    <w:qFormat/>
    <w:rPr>
      <w:rFonts w:cs="OpenSymbol"/>
    </w:rPr>
  </w:style>
  <w:style w:type="character" w:customStyle="1" w:styleId="ListLabel3965">
    <w:name w:val="ListLabel 3965"/>
    <w:qFormat/>
    <w:rPr>
      <w:rFonts w:ascii="Times New Roman" w:hAnsi="Times New Roman" w:cs="OpenSymbol"/>
    </w:rPr>
  </w:style>
  <w:style w:type="character" w:customStyle="1" w:styleId="ListLabel3966">
    <w:name w:val="ListLabel 3966"/>
    <w:qFormat/>
    <w:rPr>
      <w:rFonts w:cs="OpenSymbol"/>
    </w:rPr>
  </w:style>
  <w:style w:type="character" w:customStyle="1" w:styleId="ListLabel3967">
    <w:name w:val="ListLabel 3967"/>
    <w:qFormat/>
    <w:rPr>
      <w:rFonts w:cs="OpenSymbol"/>
    </w:rPr>
  </w:style>
  <w:style w:type="character" w:customStyle="1" w:styleId="ListLabel3968">
    <w:name w:val="ListLabel 3968"/>
    <w:qFormat/>
    <w:rPr>
      <w:rFonts w:cs="OpenSymbol"/>
    </w:rPr>
  </w:style>
  <w:style w:type="character" w:customStyle="1" w:styleId="ListLabel3969">
    <w:name w:val="ListLabel 3969"/>
    <w:qFormat/>
    <w:rPr>
      <w:rFonts w:cs="OpenSymbol"/>
    </w:rPr>
  </w:style>
  <w:style w:type="character" w:customStyle="1" w:styleId="ListLabel3970">
    <w:name w:val="ListLabel 3970"/>
    <w:qFormat/>
    <w:rPr>
      <w:rFonts w:cs="OpenSymbol"/>
    </w:rPr>
  </w:style>
  <w:style w:type="character" w:customStyle="1" w:styleId="ListLabel3971">
    <w:name w:val="ListLabel 3971"/>
    <w:qFormat/>
    <w:rPr>
      <w:rFonts w:cs="OpenSymbol"/>
    </w:rPr>
  </w:style>
  <w:style w:type="character" w:customStyle="1" w:styleId="ListLabel3972">
    <w:name w:val="ListLabel 3972"/>
    <w:qFormat/>
    <w:rPr>
      <w:rFonts w:cs="OpenSymbol"/>
    </w:rPr>
  </w:style>
  <w:style w:type="character" w:customStyle="1" w:styleId="ListLabel3973">
    <w:name w:val="ListLabel 3973"/>
    <w:qFormat/>
    <w:rPr>
      <w:rFonts w:cs="OpenSymbol"/>
    </w:rPr>
  </w:style>
  <w:style w:type="character" w:customStyle="1" w:styleId="ListLabel4003">
    <w:name w:val="ListLabel 4003"/>
    <w:qFormat/>
    <w:rPr>
      <w:rFonts w:cs="OpenSymbol"/>
      <w:sz w:val="22"/>
    </w:rPr>
  </w:style>
  <w:style w:type="character" w:customStyle="1" w:styleId="ListLabel4004">
    <w:name w:val="ListLabel 4004"/>
    <w:qFormat/>
    <w:rPr>
      <w:rFonts w:cs="Courier New"/>
      <w:sz w:val="20"/>
    </w:rPr>
  </w:style>
  <w:style w:type="character" w:customStyle="1" w:styleId="ListLabel4005">
    <w:name w:val="ListLabel 4005"/>
    <w:qFormat/>
    <w:rPr>
      <w:rFonts w:cs="Wingdings"/>
      <w:sz w:val="20"/>
    </w:rPr>
  </w:style>
  <w:style w:type="character" w:customStyle="1" w:styleId="ListLabel4006">
    <w:name w:val="ListLabel 4006"/>
    <w:qFormat/>
    <w:rPr>
      <w:rFonts w:cs="Wingdings"/>
      <w:sz w:val="20"/>
    </w:rPr>
  </w:style>
  <w:style w:type="character" w:customStyle="1" w:styleId="ListLabel4007">
    <w:name w:val="ListLabel 4007"/>
    <w:qFormat/>
    <w:rPr>
      <w:rFonts w:cs="Wingdings"/>
      <w:sz w:val="20"/>
    </w:rPr>
  </w:style>
  <w:style w:type="character" w:customStyle="1" w:styleId="ListLabel4008">
    <w:name w:val="ListLabel 4008"/>
    <w:qFormat/>
    <w:rPr>
      <w:rFonts w:cs="Wingdings"/>
      <w:sz w:val="20"/>
    </w:rPr>
  </w:style>
  <w:style w:type="character" w:customStyle="1" w:styleId="ListLabel4009">
    <w:name w:val="ListLabel 4009"/>
    <w:qFormat/>
    <w:rPr>
      <w:rFonts w:cs="Wingdings"/>
      <w:sz w:val="20"/>
    </w:rPr>
  </w:style>
  <w:style w:type="character" w:customStyle="1" w:styleId="ListLabel4010">
    <w:name w:val="ListLabel 4010"/>
    <w:qFormat/>
    <w:rPr>
      <w:rFonts w:cs="Wingdings"/>
      <w:sz w:val="20"/>
    </w:rPr>
  </w:style>
  <w:style w:type="character" w:customStyle="1" w:styleId="ListLabel4011">
    <w:name w:val="ListLabel 4011"/>
    <w:qFormat/>
    <w:rPr>
      <w:rFonts w:cs="Wingdings"/>
      <w:sz w:val="20"/>
    </w:rPr>
  </w:style>
  <w:style w:type="character" w:customStyle="1" w:styleId="ListLabel4012">
    <w:name w:val="ListLabel 4012"/>
    <w:qFormat/>
    <w:rPr>
      <w:rFonts w:cs="OpenSymbol"/>
    </w:rPr>
  </w:style>
  <w:style w:type="character" w:customStyle="1" w:styleId="ListLabel4013">
    <w:name w:val="ListLabel 4013"/>
    <w:qFormat/>
    <w:rPr>
      <w:rFonts w:cs="OpenSymbol"/>
    </w:rPr>
  </w:style>
  <w:style w:type="character" w:customStyle="1" w:styleId="ListLabel4014">
    <w:name w:val="ListLabel 4014"/>
    <w:qFormat/>
    <w:rPr>
      <w:rFonts w:cs="OpenSymbol"/>
    </w:rPr>
  </w:style>
  <w:style w:type="character" w:customStyle="1" w:styleId="ListLabel4015">
    <w:name w:val="ListLabel 4015"/>
    <w:qFormat/>
    <w:rPr>
      <w:rFonts w:cs="OpenSymbol"/>
    </w:rPr>
  </w:style>
  <w:style w:type="character" w:customStyle="1" w:styleId="ListLabel4016">
    <w:name w:val="ListLabel 4016"/>
    <w:qFormat/>
    <w:rPr>
      <w:rFonts w:cs="OpenSymbol"/>
    </w:rPr>
  </w:style>
  <w:style w:type="character" w:customStyle="1" w:styleId="ListLabel4017">
    <w:name w:val="ListLabel 4017"/>
    <w:qFormat/>
    <w:rPr>
      <w:rFonts w:cs="OpenSymbol"/>
    </w:rPr>
  </w:style>
  <w:style w:type="character" w:customStyle="1" w:styleId="ListLabel4018">
    <w:name w:val="ListLabel 4018"/>
    <w:qFormat/>
    <w:rPr>
      <w:rFonts w:cs="OpenSymbol"/>
    </w:rPr>
  </w:style>
  <w:style w:type="character" w:customStyle="1" w:styleId="ListLabel4019">
    <w:name w:val="ListLabel 4019"/>
    <w:qFormat/>
    <w:rPr>
      <w:rFonts w:cs="OpenSymbol"/>
    </w:rPr>
  </w:style>
  <w:style w:type="character" w:customStyle="1" w:styleId="ListLabel4020">
    <w:name w:val="ListLabel 4020"/>
    <w:qFormat/>
    <w:rPr>
      <w:rFonts w:cs="OpenSymbol"/>
    </w:rPr>
  </w:style>
  <w:style w:type="character" w:customStyle="1" w:styleId="ListLabel4021">
    <w:name w:val="ListLabel 4021"/>
    <w:qFormat/>
    <w:rPr>
      <w:rFonts w:cs="OpenSymbol"/>
      <w:sz w:val="22"/>
    </w:rPr>
  </w:style>
  <w:style w:type="character" w:customStyle="1" w:styleId="ListLabel4022">
    <w:name w:val="ListLabel 4022"/>
    <w:qFormat/>
    <w:rPr>
      <w:rFonts w:cs="OpenSymbol"/>
    </w:rPr>
  </w:style>
  <w:style w:type="character" w:customStyle="1" w:styleId="ListLabel4023">
    <w:name w:val="ListLabel 4023"/>
    <w:qFormat/>
    <w:rPr>
      <w:rFonts w:cs="OpenSymbol"/>
    </w:rPr>
  </w:style>
  <w:style w:type="character" w:customStyle="1" w:styleId="ListLabel4024">
    <w:name w:val="ListLabel 4024"/>
    <w:qFormat/>
    <w:rPr>
      <w:rFonts w:cs="OpenSymbol"/>
    </w:rPr>
  </w:style>
  <w:style w:type="character" w:customStyle="1" w:styleId="ListLabel4025">
    <w:name w:val="ListLabel 4025"/>
    <w:qFormat/>
    <w:rPr>
      <w:rFonts w:cs="OpenSymbol"/>
    </w:rPr>
  </w:style>
  <w:style w:type="character" w:customStyle="1" w:styleId="ListLabel4026">
    <w:name w:val="ListLabel 4026"/>
    <w:qFormat/>
    <w:rPr>
      <w:rFonts w:cs="OpenSymbol"/>
    </w:rPr>
  </w:style>
  <w:style w:type="character" w:customStyle="1" w:styleId="ListLabel4027">
    <w:name w:val="ListLabel 4027"/>
    <w:qFormat/>
    <w:rPr>
      <w:rFonts w:cs="OpenSymbol"/>
    </w:rPr>
  </w:style>
  <w:style w:type="character" w:customStyle="1" w:styleId="ListLabel4028">
    <w:name w:val="ListLabel 4028"/>
    <w:qFormat/>
    <w:rPr>
      <w:rFonts w:cs="OpenSymbol"/>
    </w:rPr>
  </w:style>
  <w:style w:type="character" w:customStyle="1" w:styleId="ListLabel4029">
    <w:name w:val="ListLabel 4029"/>
    <w:qFormat/>
    <w:rPr>
      <w:rFonts w:cs="OpenSymbol"/>
    </w:rPr>
  </w:style>
  <w:style w:type="character" w:customStyle="1" w:styleId="TekstdymkaZnak">
    <w:name w:val="Tekst dymka Znak"/>
    <w:qFormat/>
    <w:rPr>
      <w:rFonts w:ascii="Segoe UI" w:hAnsi="Segoe UI" w:cs="Mangal"/>
      <w:color w:val="00000A"/>
      <w:sz w:val="18"/>
      <w:szCs w:val="16"/>
    </w:rPr>
  </w:style>
  <w:style w:type="character" w:customStyle="1" w:styleId="Mocnowyrniony">
    <w:name w:val="Mocno wyróżniony"/>
    <w:qFormat/>
    <w:rPr>
      <w:b/>
      <w:b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1">
    <w:name w:val="Nagłówek1"/>
    <w:basedOn w:val="Normaln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Zawartotabeli">
    <w:name w:val="Zawartość tabeli"/>
    <w:basedOn w:val="Normalny"/>
    <w:qFormat/>
  </w:style>
  <w:style w:type="paragraph" w:styleId="Tekstdymka">
    <w:name w:val="Balloon Text"/>
    <w:basedOn w:val="Normalny"/>
    <w:qFormat/>
    <w:rPr>
      <w:rFonts w:ascii="Segoe UI" w:hAnsi="Segoe UI" w:cs="Mangal"/>
      <w:sz w:val="18"/>
      <w:szCs w:val="16"/>
    </w:rPr>
  </w:style>
  <w:style w:type="paragraph" w:customStyle="1" w:styleId="Nagwektabeli">
    <w:name w:val="Nagłówek tabeli"/>
    <w:basedOn w:val="Zawartotabeli"/>
    <w:qFormat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F7ED7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F7ED7"/>
    <w:rPr>
      <w:rFonts w:eastAsia="SimSun;宋体" w:cs="Mangal"/>
      <w:color w:val="00000A"/>
      <w:kern w:val="2"/>
      <w:sz w:val="16"/>
      <w:szCs w:val="14"/>
    </w:rPr>
  </w:style>
  <w:style w:type="paragraph" w:styleId="Stopka">
    <w:name w:val="footer"/>
    <w:basedOn w:val="Normalny"/>
    <w:link w:val="StopkaZnak"/>
    <w:uiPriority w:val="99"/>
    <w:unhideWhenUsed/>
    <w:rsid w:val="005F7E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F7ED7"/>
    <w:rPr>
      <w:rFonts w:eastAsia="SimSun;宋体" w:cs="Mangal"/>
      <w:color w:val="00000A"/>
      <w:kern w:val="2"/>
      <w:sz w:val="24"/>
      <w:szCs w:val="21"/>
    </w:rPr>
  </w:style>
  <w:style w:type="table" w:styleId="Tabela-Siatka">
    <w:name w:val="Table Grid"/>
    <w:basedOn w:val="Standardowy"/>
    <w:uiPriority w:val="39"/>
    <w:rsid w:val="0021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6B638-CF9F-4FFC-9994-FE145516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1302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Harasymiuk</dc:creator>
  <dc:description/>
  <cp:lastModifiedBy>Paweł Kalinowski</cp:lastModifiedBy>
  <cp:revision>4</cp:revision>
  <cp:lastPrinted>2018-03-09T08:38:00Z</cp:lastPrinted>
  <dcterms:created xsi:type="dcterms:W3CDTF">2020-02-25T10:01:00Z</dcterms:created>
  <dcterms:modified xsi:type="dcterms:W3CDTF">2020-02-25T11:02:00Z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