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7353" w:rsidRDefault="00DF2296" w:rsidP="002577AA">
      <w:pPr>
        <w:jc w:val="both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5F7ED7">
        <w:rPr>
          <w:rFonts w:ascii="Times New Roman" w:hAnsi="Times New Roman" w:cs="Times New Roman"/>
          <w:b/>
          <w:bCs/>
        </w:rPr>
        <w:t>Załącznik do dokumentacji projektowej</w:t>
      </w:r>
      <w:r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>„Budowa sieci kanalizacji sanitarnej grawitacyjno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-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tłocznej wraz z 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odgałęzieniami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bocznymi do przył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ą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czy oraz pompowniami 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ś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>cieków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”</w:t>
      </w:r>
    </w:p>
    <w:p w:rsidR="005F7ED7" w:rsidRPr="005F7ED7" w:rsidRDefault="005F7ED7" w:rsidP="002577AA">
      <w:pPr>
        <w:jc w:val="both"/>
        <w:rPr>
          <w:rFonts w:ascii="Times New Roman" w:hAnsi="Times New Roman" w:cs="Times New Roman"/>
          <w:lang w:eastAsia="pl-PL"/>
        </w:rPr>
      </w:pP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ab/>
        <w:t xml:space="preserve">W odniesieniu do </w:t>
      </w:r>
      <w:r w:rsidR="005F7ED7" w:rsidRPr="005F7ED7">
        <w:rPr>
          <w:rFonts w:ascii="Times New Roman" w:hAnsi="Times New Roman" w:cs="Times New Roman"/>
        </w:rPr>
        <w:t>dokumentacji projektowej</w:t>
      </w:r>
      <w:r w:rsidRPr="005F7ED7">
        <w:rPr>
          <w:rFonts w:ascii="Times New Roman" w:hAnsi="Times New Roman" w:cs="Times New Roman"/>
        </w:rPr>
        <w:t xml:space="preserve"> na budowę sieci kanalizacji sanitarnej </w:t>
      </w:r>
      <w:r w:rsidR="005F7ED7" w:rsidRPr="005F7ED7">
        <w:rPr>
          <w:rFonts w:ascii="Times New Roman" w:hAnsi="Times New Roman" w:cs="Times New Roman"/>
        </w:rPr>
        <w:t xml:space="preserve">w </w:t>
      </w:r>
      <w:r w:rsidRPr="005F7ED7">
        <w:rPr>
          <w:rFonts w:ascii="Times New Roman" w:hAnsi="Times New Roman" w:cs="Times New Roman"/>
        </w:rPr>
        <w:t>miejscowości Sadurki -  Zamawiający wyjaśnia, że projekt techniczny został wykonany w oparciu o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materiały referencyjne. Zamawiający nie nakłada ograniczeń na zastosowanie innych materiałów niż wskazane w projekcie technicznym.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  <w:iCs/>
        </w:rPr>
      </w:pPr>
      <w:r w:rsidRPr="005F7ED7">
        <w:rPr>
          <w:rFonts w:ascii="Times New Roman" w:hAnsi="Times New Roman" w:cs="Times New Roman"/>
          <w:iCs/>
        </w:rPr>
        <w:t>Użyte w dokumentacji projektowej nazwy producenta/nazwy systemu nie mają na celu ich</w:t>
      </w:r>
      <w:r w:rsidR="005F7ED7" w:rsidRPr="005F7ED7">
        <w:rPr>
          <w:rFonts w:ascii="Times New Roman" w:hAnsi="Times New Roman" w:cs="Times New Roman"/>
          <w:iCs/>
        </w:rPr>
        <w:t xml:space="preserve"> </w:t>
      </w:r>
      <w:r w:rsidRPr="005F7ED7">
        <w:rPr>
          <w:rFonts w:ascii="Times New Roman" w:hAnsi="Times New Roman" w:cs="Times New Roman"/>
          <w:iCs/>
        </w:rPr>
        <w:t>preferowania, lecz wskazanie na oczekiwane cechy/parametry techniczno - jakościowe wyrobów,</w:t>
      </w:r>
      <w:r w:rsidR="005F7ED7" w:rsidRPr="005F7ED7">
        <w:rPr>
          <w:rFonts w:ascii="Times New Roman" w:hAnsi="Times New Roman" w:cs="Times New Roman"/>
          <w:iCs/>
        </w:rPr>
        <w:t xml:space="preserve"> </w:t>
      </w:r>
      <w:r w:rsidRPr="005F7ED7">
        <w:rPr>
          <w:rFonts w:ascii="Times New Roman" w:hAnsi="Times New Roman" w:cs="Times New Roman"/>
          <w:iCs/>
        </w:rPr>
        <w:t>materiałów itp., które są istotne z punktu widzenia działania lub użytkowania obiektu jako całości,</w:t>
      </w:r>
      <w:r w:rsidR="005F7ED7" w:rsidRPr="005F7ED7">
        <w:rPr>
          <w:rFonts w:ascii="Times New Roman" w:hAnsi="Times New Roman" w:cs="Times New Roman"/>
          <w:iCs/>
        </w:rPr>
        <w:t xml:space="preserve"> </w:t>
      </w:r>
      <w:r w:rsidRPr="005F7ED7">
        <w:rPr>
          <w:rFonts w:ascii="Times New Roman" w:hAnsi="Times New Roman" w:cs="Times New Roman"/>
          <w:iCs/>
        </w:rPr>
        <w:t>zgodnie z jego przeznaczeniem określonym w dokumentacji.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Podane w poniższej tabeli parametry/cechy/właściwości dotyczące równoważności materiałów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to wartości minimalne, jakie muszą spełnić proponowane wyroby. Zastosowanie innych niż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wskazane w ww. dokumentacji lub poniższej tabeli jest dopuszczalne pod warunkiem, że posiadają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one parametry/cechy/właściwości takie same lub lepsze od produktów referencyjnych pod względem funkcjonalnym, technicznym, jakościowym,- muszą spełniać założenia przyjęte w ww.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dokumentacji oraz obowiązujące normy i przepisy.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Zmiana  materiałów wymienionych w dokumentacji musi się odbywać z uwzględnieniem wszystkich parametrów technicznych, które są istotne z punktu widzenia działania obiektu jako całości</w:t>
      </w:r>
      <w:r w:rsidR="006F0649" w:rsidRPr="005F7ED7">
        <w:rPr>
          <w:rFonts w:ascii="Times New Roman" w:hAnsi="Times New Roman" w:cs="Times New Roman"/>
        </w:rPr>
        <w:t>.</w:t>
      </w:r>
      <w:r w:rsidRPr="005F7ED7">
        <w:rPr>
          <w:rFonts w:ascii="Times New Roman" w:hAnsi="Times New Roman" w:cs="Times New Roman"/>
        </w:rPr>
        <w:t xml:space="preserve"> Przyjęte w projekcie materiały zostały skoordynowane międzybranżowo. Wszystkie materiały  powinny zapewniać wzajemną kompatybilność, również z instalacjami i urządzeniami innych branż.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 przypadku zaproponowania przez Wykonawcę robót innych wyrobów/materiałów itp. niż dobrane przez projektanta, - w zakresie obowiązków Wykonawcy na etapie realizacji - w razie konieczności - będzie ponowne dokonanie obliczeń, sprawdzenie ich doboru, ponowna koordynacja między branżowa oraz dostosowanie i uzgodnienie dokumentacji.</w:t>
      </w:r>
    </w:p>
    <w:p w:rsidR="003C7353" w:rsidRPr="005F7ED7" w:rsidRDefault="003C7353" w:rsidP="002577AA">
      <w:pPr>
        <w:jc w:val="both"/>
        <w:rPr>
          <w:rFonts w:ascii="Times New Roman" w:hAnsi="Times New Roman" w:cs="Times New Roman"/>
        </w:rPr>
      </w:pPr>
    </w:p>
    <w:tbl>
      <w:tblPr>
        <w:tblW w:w="9580" w:type="dxa"/>
        <w:tblInd w:w="-4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"/>
        <w:gridCol w:w="3260"/>
        <w:gridCol w:w="5812"/>
      </w:tblGrid>
      <w:tr w:rsidR="002577AA" w:rsidRPr="005F7ED7" w:rsidTr="002577AA"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Nazwa materiału/urządzenia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 xml:space="preserve">wg dokumentacji projektowej 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Cechy równoważności materiału/urządzenia opisane w dokumentacji projektowej</w:t>
            </w:r>
          </w:p>
        </w:tc>
      </w:tr>
      <w:tr w:rsidR="002577AA" w:rsidRPr="005F7ED7" w:rsidTr="002577AA"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Geotkanina  LOTRAK 4000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>Parametry geotkaniny nie mniejsze niż: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>-wytrzymałość na rozciąganie wzdłu</w:t>
            </w:r>
            <w:r w:rsidR="00882EDE" w:rsidRPr="005F7ED7">
              <w:rPr>
                <w:rFonts w:ascii="Times New Roman" w:hAnsi="Times New Roman" w:cs="Times New Roman"/>
                <w:lang w:eastAsia="pl-PL"/>
              </w:rPr>
              <w:t>ż</w:t>
            </w:r>
            <w:r w:rsidRPr="005F7ED7">
              <w:rPr>
                <w:rFonts w:ascii="Times New Roman" w:hAnsi="Times New Roman" w:cs="Times New Roman"/>
                <w:lang w:eastAsia="pl-PL"/>
              </w:rPr>
              <w:t xml:space="preserve"> pasma</w:t>
            </w:r>
            <w:r w:rsidR="00882EDE" w:rsidRPr="005F7ED7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>– min. 35 kN/m</w:t>
            </w:r>
            <w:r w:rsidRPr="005F7ED7">
              <w:rPr>
                <w:rFonts w:ascii="Times New Roman" w:hAnsi="Times New Roman" w:cs="Times New Roman"/>
                <w:lang w:eastAsia="pl-PL"/>
              </w:rPr>
              <w:t>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>- wytrzymałość na rozciąganie wszerz pasma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 xml:space="preserve"> – min. 30 kN/m</w:t>
            </w:r>
            <w:r w:rsidRPr="005F7ED7">
              <w:rPr>
                <w:rFonts w:ascii="Times New Roman" w:hAnsi="Times New Roman" w:cs="Times New Roman"/>
                <w:lang w:eastAsia="pl-PL"/>
              </w:rPr>
              <w:t>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 xml:space="preserve">- prędkość przepływu wody prostopadłego do płaszczyzny geotkaniny  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>- min. 26 mm/s,</w:t>
            </w:r>
          </w:p>
          <w:p w:rsidR="002577AA" w:rsidRPr="005F7ED7" w:rsidRDefault="002577AA" w:rsidP="00BF26D5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>- odporność na przebicie statyczne (CBR):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 xml:space="preserve"> min. 4 KN</w:t>
            </w:r>
          </w:p>
        </w:tc>
      </w:tr>
      <w:tr w:rsidR="002577AA" w:rsidRPr="005F7ED7" w:rsidTr="002577AA">
        <w:trPr>
          <w:trHeight w:val="365"/>
        </w:trPr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2</w:t>
            </w:r>
          </w:p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Wzmocnienie powierzchni kinet LITORIN I i II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Działanie preparatu: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zapewnienie ochrony i wzmocnienie nawierzchni posadzek betonowych,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zabezpieczenie przed pyleniem,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powstrzymanie przesiąkania cieczy,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zapewnienie ochrony przed elektrycznością statyczną,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zapewnienie powierzchni odporności na ścieranie, uderzenia i poślizg oraz działanie wysokich i niskich temperatur</w:t>
            </w:r>
          </w:p>
        </w:tc>
      </w:tr>
      <w:tr w:rsidR="002577AA" w:rsidRPr="005F7ED7" w:rsidTr="002577AA"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Zawór kulowy SZUSTER</w:t>
            </w:r>
          </w:p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DF0B3A" w:rsidRPr="005F7ED7" w:rsidRDefault="00DF0B3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Zawór zabezpieczający przed powrotnym przepływem ścieków,</w:t>
            </w:r>
          </w:p>
          <w:p w:rsidR="00DF0B3A" w:rsidRPr="005F7ED7" w:rsidRDefault="00DF0B3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lastRenderedPageBreak/>
              <w:t>Ciśnienie nominalne: PN 10 lub PN 16,</w:t>
            </w:r>
          </w:p>
          <w:p w:rsidR="00DF0B3A" w:rsidRPr="005F7ED7" w:rsidRDefault="00DF0B3A" w:rsidP="00DF0B3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Zgodność wyrobu z PN-EN 12050-1:2002</w:t>
            </w:r>
            <w:r w:rsidR="005F7ED7" w:rsidRPr="005F7ED7">
              <w:rPr>
                <w:rFonts w:ascii="Times New Roman" w:hAnsi="Times New Roman" w:cs="Times New Roman"/>
              </w:rPr>
              <w:t xml:space="preserve"> lub PN-EN 12050-4,</w:t>
            </w:r>
          </w:p>
          <w:p w:rsidR="00DF0B3A" w:rsidRPr="005F7ED7" w:rsidRDefault="00DF0B3A" w:rsidP="00DF0B3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Śruby łączące pokrywę z korpusem ze stali nierdzewnej,</w:t>
            </w:r>
          </w:p>
          <w:p w:rsidR="005F7ED7" w:rsidRPr="005F7ED7" w:rsidRDefault="005F7ED7" w:rsidP="00DF0B3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Ochrona antykorozyjna powłoką na bazie żywicy epoksydowej,</w:t>
            </w:r>
          </w:p>
        </w:tc>
      </w:tr>
      <w:tr w:rsidR="002577AA" w:rsidRPr="005F7ED7" w:rsidTr="002577AA">
        <w:trPr>
          <w:trHeight w:val="932"/>
        </w:trPr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 xml:space="preserve">Abizol 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Produkt oparty na bazie masy bitumicznej, modyfikowany kauczukiem syntetycznym, o właściwościach spajających i zabezpieczających, służący do zabezpieczania budynków i budowli przed działaniem wody i wilgoci</w:t>
            </w:r>
          </w:p>
        </w:tc>
      </w:tr>
    </w:tbl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5F7ED7" w:rsidRPr="005F7ED7" w:rsidRDefault="005F7ED7" w:rsidP="002577AA">
      <w:pPr>
        <w:jc w:val="both"/>
        <w:rPr>
          <w:rFonts w:ascii="Times New Roman" w:hAnsi="Times New Roman" w:cs="Times New Roman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Kryteria porównywalności pomp</w:t>
      </w:r>
    </w:p>
    <w:p w:rsidR="005F7ED7" w:rsidRPr="005F7ED7" w:rsidRDefault="005F7ED7" w:rsidP="005F7ED7">
      <w:pPr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Ze względu na obniżenie kosztów eksploatacji, wszystkie pompy muszą pochodzić od jednego producenta:</w:t>
      </w:r>
    </w:p>
    <w:p w:rsidR="005F7ED7" w:rsidRPr="005F7ED7" w:rsidRDefault="005F7ED7" w:rsidP="005F7ED7">
      <w:pPr>
        <w:rPr>
          <w:rFonts w:ascii="Times New Roman" w:hAnsi="Times New Roman" w:cs="Times New Roman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Ogólne wymagania pomp o mocy od 7 kW</w:t>
      </w: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iCs/>
          <w:snapToGrid w:val="0"/>
          <w:color w:val="auto"/>
        </w:rPr>
        <w:t>Pompy musza się charakteryzować wartościami nie gorszymi niż: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Wykres pompy certyfikowany zgodnie z :ISO 9906: 2012, HI 11.6/14.6 ≤10kW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 xml:space="preserve">Klasa silnika, wg </w:t>
      </w:r>
      <w:r w:rsidRPr="005F7ED7">
        <w:rPr>
          <w:rFonts w:ascii="Times New Roman" w:hAnsi="Times New Roman" w:cs="Times New Roman"/>
        </w:rPr>
        <w:t>IEC 60034-30</w:t>
      </w:r>
      <w:r w:rsidRPr="005F7ED7">
        <w:rPr>
          <w:rFonts w:ascii="Times New Roman" w:hAnsi="Times New Roman" w:cs="Times New Roman"/>
          <w:color w:val="auto"/>
        </w:rPr>
        <w:t>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IE3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Klasa izolacji silnika: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H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Współczynnik przeciążenia wg. NEMA:</w:t>
      </w:r>
      <w:r w:rsidRPr="005F7ED7">
        <w:rPr>
          <w:rFonts w:ascii="Times New Roman" w:hAnsi="Times New Roman" w:cs="Times New Roman"/>
          <w:color w:val="auto"/>
        </w:rPr>
        <w:tab/>
        <w:t>1,3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Klasa ATEX: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iCs/>
          <w:snapToGrid w:val="0"/>
        </w:rPr>
        <w:t>II 2Gk Exd IIBT4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Typ pracy silnika: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przystosowany do ciągłej pracy na sucho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Uczernienie: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podwójne mechaniczne SiC-SiC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Napięcie: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400 V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Rodzaj rozruchu: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Y/D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Długość kabla: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                      </w:t>
      </w:r>
      <w:r w:rsidRPr="005F7ED7">
        <w:rPr>
          <w:rFonts w:ascii="Times New Roman" w:hAnsi="Times New Roman" w:cs="Times New Roman"/>
          <w:color w:val="auto"/>
        </w:rPr>
        <w:tab/>
        <w:t>10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Montaż kabla w pompie: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wtyczka kablowa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przed zawilgoceniem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konduktometryczna ochrona w komorze olejowej i komorze silnika.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 przegrzaniem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bimetal w każdej fazie uzwojeń silnika.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Obliczeniowa trwałość łożysk:</w:t>
      </w:r>
      <w:r w:rsidRPr="005F7ED7">
        <w:rPr>
          <w:rFonts w:ascii="Times New Roman" w:hAnsi="Times New Roman" w:cs="Times New Roman"/>
          <w:color w:val="auto"/>
        </w:rPr>
        <w:tab/>
        <w:t xml:space="preserve">50 tys godzin </w:t>
      </w:r>
      <w:r w:rsidRPr="005F7ED7">
        <w:rPr>
          <w:rFonts w:ascii="Times New Roman" w:hAnsi="Times New Roman" w:cs="Times New Roman"/>
        </w:rPr>
        <w:t>wyznaczona</w:t>
      </w:r>
      <w:r w:rsidRPr="005F7ED7">
        <w:rPr>
          <w:rFonts w:ascii="Times New Roman" w:hAnsi="Times New Roman" w:cs="Times New Roman"/>
          <w:color w:val="auto"/>
        </w:rPr>
        <w:t xml:space="preserve"> dla 50% </w:t>
      </w:r>
      <w:r w:rsidRPr="005F7ED7">
        <w:rPr>
          <w:rFonts w:ascii="Times New Roman" w:hAnsi="Times New Roman" w:cs="Times New Roman"/>
        </w:rPr>
        <w:t>wydajności punktu maksymalnej sprawności hydraulicznej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Minimalna średnica prowadnic pomp:</w:t>
      </w:r>
      <w:r w:rsidRPr="005F7ED7">
        <w:rPr>
          <w:rFonts w:ascii="Times New Roman" w:hAnsi="Times New Roman" w:cs="Times New Roman"/>
          <w:color w:val="auto"/>
        </w:rPr>
        <w:tab/>
        <w:t>2 cale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Wykonanie</w:t>
      </w:r>
      <w:r w:rsidRPr="005F7ED7">
        <w:rPr>
          <w:rFonts w:ascii="Times New Roman" w:hAnsi="Times New Roman" w:cs="Times New Roman"/>
          <w:snapToGrid w:val="0"/>
          <w:color w:val="auto"/>
        </w:rPr>
        <w:t xml:space="preserve"> materiałowe pompy:</w:t>
      </w:r>
    </w:p>
    <w:p w:rsidR="005F7ED7" w:rsidRPr="005F7ED7" w:rsidRDefault="005F7ED7" w:rsidP="005F7ED7">
      <w:pPr>
        <w:tabs>
          <w:tab w:val="left" w:pos="2269"/>
        </w:tabs>
        <w:spacing w:line="36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silnika: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  <w:position w:val="6"/>
        </w:rPr>
      </w:pPr>
      <w:r w:rsidRPr="005F7ED7">
        <w:rPr>
          <w:rFonts w:ascii="Times New Roman" w:hAnsi="Times New Roman" w:cs="Times New Roman"/>
        </w:rPr>
        <w:t>Korpus tłoczny: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Wirnik: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Płyta dolna: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Wał: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1.4021 (AISI 420)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Elementy złączne: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Pałąk wyciągowy: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Default="005F7ED7" w:rsidP="005F7ED7">
      <w:pPr>
        <w:pStyle w:val="Tekstpodstawowy3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F7ED7" w:rsidRPr="005F7ED7" w:rsidRDefault="005F7ED7" w:rsidP="005F7ED7">
      <w:pPr>
        <w:pStyle w:val="Tekstpodstawowy3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lastRenderedPageBreak/>
        <w:t>Ogólne wymagania pomp o mocy mniejszej niż 7 kW</w:t>
      </w: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iCs/>
          <w:snapToGrid w:val="0"/>
          <w:color w:val="auto"/>
        </w:rPr>
        <w:t>Pompy musza się charakteryzować wartościami nie gorszymi niż: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Wykres pompy certyfikowany zgodnie z :ISO 9906: 2012, HI 11.6/14.6 ≤10kW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Napięcie: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400 V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Rodzaj rozruchu: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Y/D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Długość kabla: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                      </w:t>
      </w:r>
      <w:r w:rsidRPr="005F7ED7">
        <w:rPr>
          <w:rFonts w:ascii="Times New Roman" w:hAnsi="Times New Roman" w:cs="Times New Roman"/>
          <w:color w:val="auto"/>
        </w:rPr>
        <w:tab/>
        <w:t>10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Uczernienie: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podwójne mechaniczne SiC-SiC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przed zawilgoceniem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konduktometryczna ochrona w komorze.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 przegrzaniem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Bimetal w każdej fazie uzwojeń silnika.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Minimalna średnica prowadnic pomp:</w:t>
      </w:r>
      <w:r w:rsidRPr="005F7ED7">
        <w:rPr>
          <w:rFonts w:ascii="Times New Roman" w:hAnsi="Times New Roman" w:cs="Times New Roman"/>
          <w:color w:val="auto"/>
        </w:rPr>
        <w:tab/>
        <w:t>2 cale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Wykonanie</w:t>
      </w:r>
      <w:r w:rsidRPr="005F7ED7">
        <w:rPr>
          <w:rFonts w:ascii="Times New Roman" w:hAnsi="Times New Roman" w:cs="Times New Roman"/>
          <w:snapToGrid w:val="0"/>
          <w:color w:val="auto"/>
        </w:rPr>
        <w:t xml:space="preserve"> materiałowe pompy:</w:t>
      </w:r>
    </w:p>
    <w:p w:rsidR="005F7ED7" w:rsidRPr="005F7ED7" w:rsidRDefault="005F7ED7" w:rsidP="005F7ED7">
      <w:pPr>
        <w:tabs>
          <w:tab w:val="left" w:pos="2269"/>
        </w:tabs>
        <w:spacing w:line="36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silnika: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  <w:position w:val="6"/>
        </w:rPr>
      </w:pPr>
      <w:r w:rsidRPr="005F7ED7">
        <w:rPr>
          <w:rFonts w:ascii="Times New Roman" w:hAnsi="Times New Roman" w:cs="Times New Roman"/>
        </w:rPr>
        <w:t>Korpus tłoczny: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Wirnik: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Płyta dolna: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Wał: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1.4021 (AISI 420)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Elementy złączne: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Wymagania pomp w pompowniach jednopompowych</w:t>
      </w: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iCs/>
          <w:snapToGrid w:val="0"/>
          <w:color w:val="auto"/>
        </w:rPr>
        <w:t>Pompy musza się charakteryzować wartościami nie gorszymi niż: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Wykres pompy certyfikowany zgodnie z :ISO 9906: 2012, HI 11.6/14.6 ≤10kW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Wydajność pompy Q: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0,1-3,5 l/s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Wysokość podnoszenia H: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20-5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P1/P2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2,56/2,00 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Napięcie: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400 V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Rodzaj rozruchu: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Y/D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Długość kabla: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                      </w:t>
      </w:r>
      <w:r w:rsidRPr="005F7ED7">
        <w:rPr>
          <w:rFonts w:ascii="Times New Roman" w:hAnsi="Times New Roman" w:cs="Times New Roman"/>
          <w:color w:val="auto"/>
        </w:rPr>
        <w:tab/>
        <w:t>10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DN króćca ssawnego: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32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Uczernienie: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uszczelnienie mechaniczne SiC-SiC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Minimalna średnica prowadnic pomp:</w:t>
      </w:r>
      <w:r w:rsidRPr="005F7ED7">
        <w:rPr>
          <w:rFonts w:ascii="Times New Roman" w:hAnsi="Times New Roman" w:cs="Times New Roman"/>
          <w:color w:val="auto"/>
        </w:rPr>
        <w:tab/>
        <w:t>2 cale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 xml:space="preserve">Min stopień rozdrobnienia: </w:t>
      </w:r>
      <w:r w:rsidRPr="005F7ED7">
        <w:rPr>
          <w:rFonts w:ascii="Times New Roman" w:hAnsi="Times New Roman" w:cs="Times New Roman"/>
          <w:color w:val="auto"/>
        </w:rPr>
        <w:tab/>
        <w:t>2mm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Wykonanie</w:t>
      </w:r>
      <w:r w:rsidRPr="005F7ED7">
        <w:rPr>
          <w:rFonts w:ascii="Times New Roman" w:hAnsi="Times New Roman" w:cs="Times New Roman"/>
          <w:snapToGrid w:val="0"/>
          <w:color w:val="auto"/>
        </w:rPr>
        <w:t xml:space="preserve"> materiałowe pompy:</w:t>
      </w:r>
    </w:p>
    <w:p w:rsidR="005F7ED7" w:rsidRPr="005F7ED7" w:rsidRDefault="005F7ED7" w:rsidP="005F7ED7">
      <w:pPr>
        <w:tabs>
          <w:tab w:val="left" w:pos="2269"/>
        </w:tabs>
        <w:spacing w:line="36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silnika: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tłoczny: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Wirnik: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Płyta dolna: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Wał: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1.4021 (AISI 420)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Elementy złączne: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Nóż i pierścień tnący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1.4528 o twardości min min. 58 HRC  b b</w:t>
      </w: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</w:p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</w:p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lastRenderedPageBreak/>
        <w:t>Szczegółowe wymagania pomp</w:t>
      </w:r>
    </w:p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P1 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7"/>
        <w:gridCol w:w="4737"/>
      </w:tblGrid>
      <w:tr w:rsidR="00211287" w:rsidTr="00A53ADB">
        <w:tc>
          <w:tcPr>
            <w:tcW w:w="4889" w:type="dxa"/>
            <w:vAlign w:val="center"/>
          </w:tcPr>
          <w:p w:rsidR="00211287" w:rsidRDefault="00211287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211287" w:rsidRPr="00A53ADB" w:rsidRDefault="00211287" w:rsidP="00A53ADB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7,47/7,0 kW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211287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211287" w:rsidRPr="00211287" w:rsidRDefault="00211287" w:rsidP="00211287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13,48A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211287" w:rsidRPr="00A53ADB" w:rsidRDefault="00A53ADB" w:rsidP="00A53ADB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90,43%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211287" w:rsidRPr="00A53ADB" w:rsidRDefault="00A53ADB" w:rsidP="00A53ADB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Vortex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65 mm</w:t>
            </w:r>
          </w:p>
        </w:tc>
      </w:tr>
    </w:tbl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7"/>
        <w:gridCol w:w="4737"/>
      </w:tblGrid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1,93/1,3 kW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A53ADB" w:rsidRPr="00211287" w:rsidRDefault="00A53ADB" w:rsidP="00A64235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3,6A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67,2%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Vortex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211287">
              <w:rPr>
                <w:rFonts w:ascii="Times New Roman" w:hAnsi="Times New Roman" w:cs="Times New Roman"/>
                <w:color w:val="auto"/>
              </w:rPr>
              <w:t xml:space="preserve"> mm</w:t>
            </w:r>
          </w:p>
        </w:tc>
      </w:tr>
    </w:tbl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P4 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43"/>
      </w:tblGrid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3,74/3,0 kW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A53ADB" w:rsidRPr="00211287" w:rsidRDefault="00A53ADB" w:rsidP="00A64235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6,32A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80,2%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kanałowy typu otwartego z regulowaną szczeliną przy pomocy śrub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</w:rPr>
              <w:t>45</w:t>
            </w:r>
            <w:r w:rsidRPr="00211287">
              <w:rPr>
                <w:rFonts w:ascii="Times New Roman" w:hAnsi="Times New Roman" w:cs="Times New Roman"/>
                <w:color w:val="auto"/>
              </w:rPr>
              <w:t xml:space="preserve"> mm</w:t>
            </w:r>
          </w:p>
        </w:tc>
      </w:tr>
    </w:tbl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P6 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43"/>
      </w:tblGrid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3,74/3,0 kW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A53ADB" w:rsidRPr="00211287" w:rsidRDefault="00A53ADB" w:rsidP="00A64235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6,32A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80,2%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kanałowy typu otwartego z regulowaną szczeliną przy pomocy śrub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</w:rPr>
              <w:t>45</w:t>
            </w:r>
            <w:r w:rsidRPr="00211287">
              <w:rPr>
                <w:rFonts w:ascii="Times New Roman" w:hAnsi="Times New Roman" w:cs="Times New Roman"/>
                <w:color w:val="auto"/>
              </w:rPr>
              <w:t xml:space="preserve"> mm</w:t>
            </w:r>
          </w:p>
        </w:tc>
      </w:tr>
    </w:tbl>
    <w:p w:rsidR="00A53ADB" w:rsidRPr="005F7ED7" w:rsidRDefault="00A53ADB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b/>
          <w:iCs/>
          <w:snapToGrid w:val="0"/>
          <w:color w:val="auto"/>
        </w:rPr>
        <w:lastRenderedPageBreak/>
        <w:t>PARAMETRY PRACY POMP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457"/>
        <w:gridCol w:w="1642"/>
        <w:gridCol w:w="1196"/>
        <w:gridCol w:w="1787"/>
        <w:gridCol w:w="1496"/>
      </w:tblGrid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Nazwa pompowni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Hp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Wysokość geometryczna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str.I +M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Straty rurociągu policzono dla rury PEHD PN10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Długość rurociągu tłocznego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PS1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4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24,42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15,55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8,87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90x79,2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750,0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PS2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4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5,56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5,02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0,54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90x79,2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50,0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PS3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10,56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5,92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4,64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240,0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PS4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7,6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15,37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12,05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3,32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SDR17 125x110,2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440,0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PS5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10,59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5,75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4,84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250,0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PS6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4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17,78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7,6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10,18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90x79,2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860,0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Po1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6,3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2,7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3,1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180,0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Po2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4,12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2,95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1,17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60,0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Sadurki (istniejąca pompownia)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 = 2,8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18,6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11,8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6,8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-------------------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450,0 m</w:t>
            </w:r>
          </w:p>
        </w:tc>
      </w:tr>
    </w:tbl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</w:p>
    <w:p w:rsidR="005F7ED7" w:rsidRPr="005F7ED7" w:rsidRDefault="005F7ED7" w:rsidP="002577AA">
      <w:pPr>
        <w:jc w:val="both"/>
        <w:rPr>
          <w:rFonts w:ascii="Times New Roman" w:hAnsi="Times New Roman" w:cs="Times New Roman"/>
        </w:rPr>
      </w:pPr>
    </w:p>
    <w:p w:rsidR="005F7ED7" w:rsidRPr="005F7ED7" w:rsidRDefault="005F7ED7" w:rsidP="002577AA">
      <w:pPr>
        <w:jc w:val="both"/>
        <w:rPr>
          <w:rFonts w:ascii="Times New Roman" w:hAnsi="Times New Roman" w:cs="Times New Roman"/>
        </w:rPr>
      </w:pP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Ewentualne podane w opisach nazwy własne/referencyjne nie naruszają zatem art. 29 i 7 ustawy z dnia 29 stycznia 2004 r. Prawo zamówień publicznych (Dz.U. z 201</w:t>
      </w:r>
      <w:r w:rsidR="005F7ED7" w:rsidRPr="005F7ED7">
        <w:rPr>
          <w:rFonts w:ascii="Times New Roman" w:hAnsi="Times New Roman" w:cs="Times New Roman"/>
        </w:rPr>
        <w:t>9</w:t>
      </w:r>
      <w:r w:rsidRPr="005F7ED7">
        <w:rPr>
          <w:rFonts w:ascii="Times New Roman" w:hAnsi="Times New Roman" w:cs="Times New Roman"/>
        </w:rPr>
        <w:t xml:space="preserve"> r., poz. 1</w:t>
      </w:r>
      <w:r w:rsidR="005F7ED7" w:rsidRPr="005F7ED7">
        <w:rPr>
          <w:rFonts w:ascii="Times New Roman" w:hAnsi="Times New Roman" w:cs="Times New Roman"/>
        </w:rPr>
        <w:t>84</w:t>
      </w:r>
      <w:r w:rsidR="00E052F8">
        <w:rPr>
          <w:rFonts w:ascii="Times New Roman" w:hAnsi="Times New Roman" w:cs="Times New Roman"/>
        </w:rPr>
        <w:t>3</w:t>
      </w:r>
      <w:bookmarkStart w:id="0" w:name="_GoBack"/>
      <w:bookmarkEnd w:id="0"/>
      <w:r w:rsidRPr="005F7ED7">
        <w:rPr>
          <w:rFonts w:ascii="Times New Roman" w:hAnsi="Times New Roman" w:cs="Times New Roman"/>
        </w:rPr>
        <w:t xml:space="preserve"> z późn.zm.), </w:t>
      </w:r>
      <w:r w:rsidRPr="005F7ED7">
        <w:rPr>
          <w:rFonts w:ascii="Times New Roman" w:hAnsi="Times New Roman" w:cs="Times New Roman"/>
        </w:rPr>
        <w:br/>
        <w:t>a mają jedynie za zadanie sprecyzowanie oczekiwań jakościowych i technologicznych Zamawiającego. Dopuszcza się rozwiązania równoważne pod warunkiem spełnienia tego samego poziomu technologicznego</w:t>
      </w:r>
      <w:r w:rsidR="005F7ED7" w:rsidRPr="005F7ED7">
        <w:rPr>
          <w:rFonts w:ascii="Times New Roman" w:hAnsi="Times New Roman" w:cs="Times New Roman"/>
        </w:rPr>
        <w:t>,</w:t>
      </w:r>
      <w:r w:rsidRPr="005F7ED7">
        <w:rPr>
          <w:rFonts w:ascii="Times New Roman" w:hAnsi="Times New Roman" w:cs="Times New Roman"/>
        </w:rPr>
        <w:t xml:space="preserve"> wydajnościowego i funkcjonalnego założonego w projekcie. Oferowane materiały i urządzenia równoważne nie mogą spowodować zwiększenia kosztów eksploatacyjnych obiektu bardziej niż założone w dokumentacji projektowej.</w:t>
      </w: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sectPr w:rsidR="003C7353" w:rsidRPr="005F7ED7">
      <w:headerReference w:type="default" r:id="rId8"/>
      <w:pgSz w:w="11906" w:h="16838"/>
      <w:pgMar w:top="1134" w:right="1134" w:bottom="851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C14" w:rsidRDefault="00723C14" w:rsidP="005F7ED7">
      <w:r>
        <w:separator/>
      </w:r>
    </w:p>
  </w:endnote>
  <w:endnote w:type="continuationSeparator" w:id="0">
    <w:p w:rsidR="00723C14" w:rsidRDefault="00723C14" w:rsidP="005F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C14" w:rsidRDefault="00723C14" w:rsidP="005F7ED7">
      <w:r>
        <w:separator/>
      </w:r>
    </w:p>
  </w:footnote>
  <w:footnote w:type="continuationSeparator" w:id="0">
    <w:p w:rsidR="00723C14" w:rsidRDefault="00723C14" w:rsidP="005F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ED7" w:rsidRDefault="005F7ED7">
    <w:pPr>
      <w:pStyle w:val="Nagwek"/>
      <w:rPr>
        <w:rFonts w:hint="eastAsia"/>
      </w:rPr>
    </w:pPr>
    <w:r>
      <w:rPr>
        <w:noProof/>
        <w:lang w:eastAsia="pl-PL"/>
      </w:rPr>
      <w:drawing>
        <wp:inline distT="0" distB="0" distL="0" distR="0" wp14:anchorId="4F7DA3E3" wp14:editId="22051156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25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353"/>
    <w:rsid w:val="000C45D9"/>
    <w:rsid w:val="00177217"/>
    <w:rsid w:val="00211287"/>
    <w:rsid w:val="002577AA"/>
    <w:rsid w:val="003C7353"/>
    <w:rsid w:val="005F7ED7"/>
    <w:rsid w:val="006902D6"/>
    <w:rsid w:val="006F0649"/>
    <w:rsid w:val="00723C14"/>
    <w:rsid w:val="00882EDE"/>
    <w:rsid w:val="00A53ADB"/>
    <w:rsid w:val="00BF26D5"/>
    <w:rsid w:val="00DF0B3A"/>
    <w:rsid w:val="00DF2296"/>
    <w:rsid w:val="00E052F8"/>
    <w:rsid w:val="00E4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6751"/>
  <w15:docId w15:val="{105E0B1F-510A-4E8E-8D86-56D4B31A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;宋体"/>
      <w:color w:val="00000A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qFormat/>
    <w:rPr>
      <w:rFonts w:ascii="Times New Roman" w:hAnsi="Times New Roman" w:cs="Times New Roman"/>
      <w:b/>
      <w:spacing w:val="0"/>
      <w:sz w:val="22"/>
    </w:rPr>
  </w:style>
  <w:style w:type="character" w:customStyle="1" w:styleId="Teksttreci4135pt">
    <w:name w:val="Tekst treści (4) + 13;5 pt"/>
    <w:qFormat/>
    <w:rPr>
      <w:rFonts w:ascii="Times New Roman" w:hAnsi="Times New Roman" w:cs="Times New Roman"/>
      <w:b/>
      <w:spacing w:val="0"/>
      <w:sz w:val="27"/>
    </w:rPr>
  </w:style>
  <w:style w:type="character" w:customStyle="1" w:styleId="Nagwek3">
    <w:name w:val="Nagłówek #3_"/>
    <w:qFormat/>
    <w:rPr>
      <w:rFonts w:ascii="Times New Roman" w:hAnsi="Times New Roman" w:cs="Times New Roman"/>
      <w:spacing w:val="0"/>
      <w:sz w:val="27"/>
    </w:rPr>
  </w:style>
  <w:style w:type="character" w:customStyle="1" w:styleId="Nagwek311pt">
    <w:name w:val="Nagłówek #3 + 11 pt"/>
    <w:qFormat/>
    <w:rPr>
      <w:rFonts w:ascii="Times New Roman" w:hAnsi="Times New Roman" w:cs="Times New Roman"/>
      <w:spacing w:val="0"/>
      <w:sz w:val="22"/>
    </w:rPr>
  </w:style>
  <w:style w:type="character" w:customStyle="1" w:styleId="PogrubienieNagwek311pt">
    <w:name w:val="Pogrubienie;Nagłówek #3 + 11 pt"/>
    <w:qFormat/>
    <w:rPr>
      <w:rFonts w:ascii="Times New Roman" w:hAnsi="Times New Roman" w:cs="Times New Roman"/>
      <w:b/>
      <w:spacing w:val="0"/>
      <w:sz w:val="22"/>
    </w:rPr>
  </w:style>
  <w:style w:type="character" w:customStyle="1" w:styleId="ListLabel3929">
    <w:name w:val="ListLabel 3929"/>
    <w:qFormat/>
    <w:rPr>
      <w:rFonts w:ascii="Times New Roman" w:hAnsi="Times New Roman" w:cs="OpenSymbol"/>
    </w:rPr>
  </w:style>
  <w:style w:type="character" w:customStyle="1" w:styleId="ListLabel3930">
    <w:name w:val="ListLabel 3930"/>
    <w:qFormat/>
    <w:rPr>
      <w:rFonts w:ascii="Times New Roman" w:hAnsi="Times New Roman" w:cs="OpenSymbol"/>
    </w:rPr>
  </w:style>
  <w:style w:type="character" w:customStyle="1" w:styleId="ListLabel3931">
    <w:name w:val="ListLabel 3931"/>
    <w:qFormat/>
    <w:rPr>
      <w:rFonts w:cs="OpenSymbol"/>
    </w:rPr>
  </w:style>
  <w:style w:type="character" w:customStyle="1" w:styleId="ListLabel3932">
    <w:name w:val="ListLabel 3932"/>
    <w:qFormat/>
    <w:rPr>
      <w:rFonts w:cs="OpenSymbol"/>
    </w:rPr>
  </w:style>
  <w:style w:type="character" w:customStyle="1" w:styleId="ListLabel3933">
    <w:name w:val="ListLabel 3933"/>
    <w:qFormat/>
    <w:rPr>
      <w:rFonts w:cs="OpenSymbol"/>
    </w:rPr>
  </w:style>
  <w:style w:type="character" w:customStyle="1" w:styleId="ListLabel3934">
    <w:name w:val="ListLabel 3934"/>
    <w:qFormat/>
    <w:rPr>
      <w:rFonts w:cs="OpenSymbol"/>
    </w:rPr>
  </w:style>
  <w:style w:type="character" w:customStyle="1" w:styleId="ListLabel3935">
    <w:name w:val="ListLabel 3935"/>
    <w:qFormat/>
    <w:rPr>
      <w:rFonts w:cs="OpenSymbol"/>
    </w:rPr>
  </w:style>
  <w:style w:type="character" w:customStyle="1" w:styleId="ListLabel3936">
    <w:name w:val="ListLabel 3936"/>
    <w:qFormat/>
    <w:rPr>
      <w:rFonts w:cs="OpenSymbol"/>
    </w:rPr>
  </w:style>
  <w:style w:type="character" w:customStyle="1" w:styleId="ListLabel3937">
    <w:name w:val="ListLabel 3937"/>
    <w:qFormat/>
    <w:rPr>
      <w:rFonts w:cs="OpenSymbol"/>
    </w:rPr>
  </w:style>
  <w:style w:type="character" w:customStyle="1" w:styleId="ListLabel3956">
    <w:name w:val="ListLabel 3956"/>
    <w:qFormat/>
    <w:rPr>
      <w:rFonts w:ascii="Times New Roman" w:hAnsi="Times New Roman" w:cs="OpenSymbol"/>
    </w:rPr>
  </w:style>
  <w:style w:type="character" w:customStyle="1" w:styleId="ListLabel3957">
    <w:name w:val="ListLabel 3957"/>
    <w:qFormat/>
    <w:rPr>
      <w:rFonts w:cs="OpenSymbol"/>
    </w:rPr>
  </w:style>
  <w:style w:type="character" w:customStyle="1" w:styleId="ListLabel3958">
    <w:name w:val="ListLabel 3958"/>
    <w:qFormat/>
    <w:rPr>
      <w:rFonts w:cs="OpenSymbol"/>
    </w:rPr>
  </w:style>
  <w:style w:type="character" w:customStyle="1" w:styleId="ListLabel3959">
    <w:name w:val="ListLabel 3959"/>
    <w:qFormat/>
    <w:rPr>
      <w:rFonts w:cs="OpenSymbol"/>
    </w:rPr>
  </w:style>
  <w:style w:type="character" w:customStyle="1" w:styleId="ListLabel3960">
    <w:name w:val="ListLabel 3960"/>
    <w:qFormat/>
    <w:rPr>
      <w:rFonts w:cs="OpenSymbol"/>
    </w:rPr>
  </w:style>
  <w:style w:type="character" w:customStyle="1" w:styleId="ListLabel3961">
    <w:name w:val="ListLabel 3961"/>
    <w:qFormat/>
    <w:rPr>
      <w:rFonts w:cs="OpenSymbol"/>
    </w:rPr>
  </w:style>
  <w:style w:type="character" w:customStyle="1" w:styleId="ListLabel3962">
    <w:name w:val="ListLabel 3962"/>
    <w:qFormat/>
    <w:rPr>
      <w:rFonts w:cs="OpenSymbol"/>
    </w:rPr>
  </w:style>
  <w:style w:type="character" w:customStyle="1" w:styleId="ListLabel3963">
    <w:name w:val="ListLabel 3963"/>
    <w:qFormat/>
    <w:rPr>
      <w:rFonts w:cs="OpenSymbol"/>
    </w:rPr>
  </w:style>
  <w:style w:type="character" w:customStyle="1" w:styleId="ListLabel3964">
    <w:name w:val="ListLabel 3964"/>
    <w:qFormat/>
    <w:rPr>
      <w:rFonts w:cs="OpenSymbol"/>
    </w:rPr>
  </w:style>
  <w:style w:type="character" w:customStyle="1" w:styleId="ListLabel3920">
    <w:name w:val="ListLabel 3920"/>
    <w:qFormat/>
    <w:rPr>
      <w:rFonts w:ascii="Arial" w:hAnsi="Arial" w:cs="OpenSymbol"/>
      <w:sz w:val="22"/>
    </w:rPr>
  </w:style>
  <w:style w:type="character" w:customStyle="1" w:styleId="ListLabel3921">
    <w:name w:val="ListLabel 3921"/>
    <w:qFormat/>
    <w:rPr>
      <w:rFonts w:cs="Courier New"/>
      <w:sz w:val="20"/>
    </w:rPr>
  </w:style>
  <w:style w:type="character" w:customStyle="1" w:styleId="ListLabel3922">
    <w:name w:val="ListLabel 3922"/>
    <w:qFormat/>
    <w:rPr>
      <w:rFonts w:cs="Wingdings"/>
      <w:sz w:val="20"/>
    </w:rPr>
  </w:style>
  <w:style w:type="character" w:customStyle="1" w:styleId="ListLabel3923">
    <w:name w:val="ListLabel 3923"/>
    <w:qFormat/>
    <w:rPr>
      <w:rFonts w:cs="Wingdings"/>
      <w:sz w:val="20"/>
    </w:rPr>
  </w:style>
  <w:style w:type="character" w:customStyle="1" w:styleId="ListLabel3924">
    <w:name w:val="ListLabel 3924"/>
    <w:qFormat/>
    <w:rPr>
      <w:rFonts w:cs="Wingdings"/>
      <w:sz w:val="20"/>
    </w:rPr>
  </w:style>
  <w:style w:type="character" w:customStyle="1" w:styleId="ListLabel3925">
    <w:name w:val="ListLabel 3925"/>
    <w:qFormat/>
    <w:rPr>
      <w:rFonts w:cs="Wingdings"/>
      <w:sz w:val="20"/>
    </w:rPr>
  </w:style>
  <w:style w:type="character" w:customStyle="1" w:styleId="ListLabel3926">
    <w:name w:val="ListLabel 3926"/>
    <w:qFormat/>
    <w:rPr>
      <w:rFonts w:cs="Wingdings"/>
      <w:sz w:val="20"/>
    </w:rPr>
  </w:style>
  <w:style w:type="character" w:customStyle="1" w:styleId="ListLabel3927">
    <w:name w:val="ListLabel 3927"/>
    <w:qFormat/>
    <w:rPr>
      <w:rFonts w:cs="Wingdings"/>
      <w:sz w:val="20"/>
    </w:rPr>
  </w:style>
  <w:style w:type="character" w:customStyle="1" w:styleId="ListLabel3928">
    <w:name w:val="ListLabel 3928"/>
    <w:qFormat/>
    <w:rPr>
      <w:rFonts w:cs="Wingdings"/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3995">
    <w:name w:val="ListLabel 3995"/>
    <w:qFormat/>
    <w:rPr>
      <w:rFonts w:cs="OpenSymbol"/>
    </w:rPr>
  </w:style>
  <w:style w:type="character" w:customStyle="1" w:styleId="ListLabel3996">
    <w:name w:val="ListLabel 3996"/>
    <w:qFormat/>
    <w:rPr>
      <w:rFonts w:cs="OpenSymbol"/>
    </w:rPr>
  </w:style>
  <w:style w:type="character" w:customStyle="1" w:styleId="ListLabel3997">
    <w:name w:val="ListLabel 3997"/>
    <w:qFormat/>
    <w:rPr>
      <w:rFonts w:cs="OpenSymbol"/>
    </w:rPr>
  </w:style>
  <w:style w:type="character" w:customStyle="1" w:styleId="ListLabel3998">
    <w:name w:val="ListLabel 3998"/>
    <w:qFormat/>
    <w:rPr>
      <w:rFonts w:cs="OpenSymbol"/>
    </w:rPr>
  </w:style>
  <w:style w:type="character" w:customStyle="1" w:styleId="ListLabel3999">
    <w:name w:val="ListLabel 3999"/>
    <w:qFormat/>
    <w:rPr>
      <w:rFonts w:cs="OpenSymbol"/>
    </w:rPr>
  </w:style>
  <w:style w:type="character" w:customStyle="1" w:styleId="ListLabel4000">
    <w:name w:val="ListLabel 4000"/>
    <w:qFormat/>
    <w:rPr>
      <w:rFonts w:cs="OpenSymbol"/>
    </w:rPr>
  </w:style>
  <w:style w:type="character" w:customStyle="1" w:styleId="ListLabel4001">
    <w:name w:val="ListLabel 4001"/>
    <w:qFormat/>
    <w:rPr>
      <w:rFonts w:cs="OpenSymbol"/>
    </w:rPr>
  </w:style>
  <w:style w:type="character" w:customStyle="1" w:styleId="ListLabel4002">
    <w:name w:val="ListLabel 4002"/>
    <w:qFormat/>
    <w:rPr>
      <w:rFonts w:cs="OpenSymbol"/>
    </w:rPr>
  </w:style>
  <w:style w:type="character" w:customStyle="1" w:styleId="ListLabel3947">
    <w:name w:val="ListLabel 3947"/>
    <w:qFormat/>
    <w:rPr>
      <w:rFonts w:ascii="Times New Roman" w:hAnsi="Times New Roman" w:cs="OpenSymbol"/>
      <w:sz w:val="22"/>
    </w:rPr>
  </w:style>
  <w:style w:type="character" w:customStyle="1" w:styleId="ListLabel3948">
    <w:name w:val="ListLabel 3948"/>
    <w:qFormat/>
    <w:rPr>
      <w:rFonts w:cs="OpenSymbol"/>
    </w:rPr>
  </w:style>
  <w:style w:type="character" w:customStyle="1" w:styleId="ListLabel3949">
    <w:name w:val="ListLabel 3949"/>
    <w:qFormat/>
    <w:rPr>
      <w:rFonts w:cs="OpenSymbol"/>
    </w:rPr>
  </w:style>
  <w:style w:type="character" w:customStyle="1" w:styleId="ListLabel3950">
    <w:name w:val="ListLabel 3950"/>
    <w:qFormat/>
    <w:rPr>
      <w:rFonts w:cs="OpenSymbol"/>
    </w:rPr>
  </w:style>
  <w:style w:type="character" w:customStyle="1" w:styleId="ListLabel3951">
    <w:name w:val="ListLabel 3951"/>
    <w:qFormat/>
    <w:rPr>
      <w:rFonts w:cs="OpenSymbol"/>
    </w:rPr>
  </w:style>
  <w:style w:type="character" w:customStyle="1" w:styleId="ListLabel3952">
    <w:name w:val="ListLabel 3952"/>
    <w:qFormat/>
    <w:rPr>
      <w:rFonts w:cs="OpenSymbol"/>
    </w:rPr>
  </w:style>
  <w:style w:type="character" w:customStyle="1" w:styleId="ListLabel3953">
    <w:name w:val="ListLabel 3953"/>
    <w:qFormat/>
    <w:rPr>
      <w:rFonts w:cs="OpenSymbol"/>
    </w:rPr>
  </w:style>
  <w:style w:type="character" w:customStyle="1" w:styleId="ListLabel3954">
    <w:name w:val="ListLabel 3954"/>
    <w:qFormat/>
    <w:rPr>
      <w:rFonts w:cs="OpenSymbol"/>
    </w:rPr>
  </w:style>
  <w:style w:type="character" w:customStyle="1" w:styleId="ListLabel3955">
    <w:name w:val="ListLabel 3955"/>
    <w:qFormat/>
    <w:rPr>
      <w:rFonts w:cs="OpenSymbol"/>
    </w:rPr>
  </w:style>
  <w:style w:type="character" w:customStyle="1" w:styleId="ListLabel3965">
    <w:name w:val="ListLabel 3965"/>
    <w:qFormat/>
    <w:rPr>
      <w:rFonts w:ascii="Times New Roman" w:hAnsi="Times New Roman" w:cs="OpenSymbol"/>
    </w:rPr>
  </w:style>
  <w:style w:type="character" w:customStyle="1" w:styleId="ListLabel3966">
    <w:name w:val="ListLabel 3966"/>
    <w:qFormat/>
    <w:rPr>
      <w:rFonts w:cs="OpenSymbol"/>
    </w:rPr>
  </w:style>
  <w:style w:type="character" w:customStyle="1" w:styleId="ListLabel3967">
    <w:name w:val="ListLabel 3967"/>
    <w:qFormat/>
    <w:rPr>
      <w:rFonts w:cs="OpenSymbol"/>
    </w:rPr>
  </w:style>
  <w:style w:type="character" w:customStyle="1" w:styleId="ListLabel3968">
    <w:name w:val="ListLabel 3968"/>
    <w:qFormat/>
    <w:rPr>
      <w:rFonts w:cs="OpenSymbol"/>
    </w:rPr>
  </w:style>
  <w:style w:type="character" w:customStyle="1" w:styleId="ListLabel3969">
    <w:name w:val="ListLabel 3969"/>
    <w:qFormat/>
    <w:rPr>
      <w:rFonts w:cs="OpenSymbol"/>
    </w:rPr>
  </w:style>
  <w:style w:type="character" w:customStyle="1" w:styleId="ListLabel3970">
    <w:name w:val="ListLabel 3970"/>
    <w:qFormat/>
    <w:rPr>
      <w:rFonts w:cs="OpenSymbol"/>
    </w:rPr>
  </w:style>
  <w:style w:type="character" w:customStyle="1" w:styleId="ListLabel3971">
    <w:name w:val="ListLabel 3971"/>
    <w:qFormat/>
    <w:rPr>
      <w:rFonts w:cs="OpenSymbol"/>
    </w:rPr>
  </w:style>
  <w:style w:type="character" w:customStyle="1" w:styleId="ListLabel3972">
    <w:name w:val="ListLabel 3972"/>
    <w:qFormat/>
    <w:rPr>
      <w:rFonts w:cs="OpenSymbol"/>
    </w:rPr>
  </w:style>
  <w:style w:type="character" w:customStyle="1" w:styleId="ListLabel3973">
    <w:name w:val="ListLabel 3973"/>
    <w:qFormat/>
    <w:rPr>
      <w:rFonts w:cs="OpenSymbol"/>
    </w:rPr>
  </w:style>
  <w:style w:type="character" w:customStyle="1" w:styleId="ListLabel4003">
    <w:name w:val="ListLabel 4003"/>
    <w:qFormat/>
    <w:rPr>
      <w:rFonts w:cs="OpenSymbol"/>
      <w:sz w:val="22"/>
    </w:rPr>
  </w:style>
  <w:style w:type="character" w:customStyle="1" w:styleId="ListLabel4004">
    <w:name w:val="ListLabel 4004"/>
    <w:qFormat/>
    <w:rPr>
      <w:rFonts w:cs="Courier New"/>
      <w:sz w:val="20"/>
    </w:rPr>
  </w:style>
  <w:style w:type="character" w:customStyle="1" w:styleId="ListLabel4005">
    <w:name w:val="ListLabel 4005"/>
    <w:qFormat/>
    <w:rPr>
      <w:rFonts w:cs="Wingdings"/>
      <w:sz w:val="20"/>
    </w:rPr>
  </w:style>
  <w:style w:type="character" w:customStyle="1" w:styleId="ListLabel4006">
    <w:name w:val="ListLabel 4006"/>
    <w:qFormat/>
    <w:rPr>
      <w:rFonts w:cs="Wingdings"/>
      <w:sz w:val="20"/>
    </w:rPr>
  </w:style>
  <w:style w:type="character" w:customStyle="1" w:styleId="ListLabel4007">
    <w:name w:val="ListLabel 4007"/>
    <w:qFormat/>
    <w:rPr>
      <w:rFonts w:cs="Wingdings"/>
      <w:sz w:val="20"/>
    </w:rPr>
  </w:style>
  <w:style w:type="character" w:customStyle="1" w:styleId="ListLabel4008">
    <w:name w:val="ListLabel 4008"/>
    <w:qFormat/>
    <w:rPr>
      <w:rFonts w:cs="Wingdings"/>
      <w:sz w:val="20"/>
    </w:rPr>
  </w:style>
  <w:style w:type="character" w:customStyle="1" w:styleId="ListLabel4009">
    <w:name w:val="ListLabel 4009"/>
    <w:qFormat/>
    <w:rPr>
      <w:rFonts w:cs="Wingdings"/>
      <w:sz w:val="20"/>
    </w:rPr>
  </w:style>
  <w:style w:type="character" w:customStyle="1" w:styleId="ListLabel4010">
    <w:name w:val="ListLabel 4010"/>
    <w:qFormat/>
    <w:rPr>
      <w:rFonts w:cs="Wingdings"/>
      <w:sz w:val="20"/>
    </w:rPr>
  </w:style>
  <w:style w:type="character" w:customStyle="1" w:styleId="ListLabel4011">
    <w:name w:val="ListLabel 4011"/>
    <w:qFormat/>
    <w:rPr>
      <w:rFonts w:cs="Wingdings"/>
      <w:sz w:val="20"/>
    </w:rPr>
  </w:style>
  <w:style w:type="character" w:customStyle="1" w:styleId="ListLabel4012">
    <w:name w:val="ListLabel 4012"/>
    <w:qFormat/>
    <w:rPr>
      <w:rFonts w:cs="OpenSymbol"/>
    </w:rPr>
  </w:style>
  <w:style w:type="character" w:customStyle="1" w:styleId="ListLabel4013">
    <w:name w:val="ListLabel 4013"/>
    <w:qFormat/>
    <w:rPr>
      <w:rFonts w:cs="OpenSymbol"/>
    </w:rPr>
  </w:style>
  <w:style w:type="character" w:customStyle="1" w:styleId="ListLabel4014">
    <w:name w:val="ListLabel 4014"/>
    <w:qFormat/>
    <w:rPr>
      <w:rFonts w:cs="OpenSymbol"/>
    </w:rPr>
  </w:style>
  <w:style w:type="character" w:customStyle="1" w:styleId="ListLabel4015">
    <w:name w:val="ListLabel 4015"/>
    <w:qFormat/>
    <w:rPr>
      <w:rFonts w:cs="OpenSymbol"/>
    </w:rPr>
  </w:style>
  <w:style w:type="character" w:customStyle="1" w:styleId="ListLabel4016">
    <w:name w:val="ListLabel 4016"/>
    <w:qFormat/>
    <w:rPr>
      <w:rFonts w:cs="OpenSymbol"/>
    </w:rPr>
  </w:style>
  <w:style w:type="character" w:customStyle="1" w:styleId="ListLabel4017">
    <w:name w:val="ListLabel 4017"/>
    <w:qFormat/>
    <w:rPr>
      <w:rFonts w:cs="OpenSymbol"/>
    </w:rPr>
  </w:style>
  <w:style w:type="character" w:customStyle="1" w:styleId="ListLabel4018">
    <w:name w:val="ListLabel 4018"/>
    <w:qFormat/>
    <w:rPr>
      <w:rFonts w:cs="OpenSymbol"/>
    </w:rPr>
  </w:style>
  <w:style w:type="character" w:customStyle="1" w:styleId="ListLabel4019">
    <w:name w:val="ListLabel 4019"/>
    <w:qFormat/>
    <w:rPr>
      <w:rFonts w:cs="OpenSymbol"/>
    </w:rPr>
  </w:style>
  <w:style w:type="character" w:customStyle="1" w:styleId="ListLabel4020">
    <w:name w:val="ListLabel 4020"/>
    <w:qFormat/>
    <w:rPr>
      <w:rFonts w:cs="OpenSymbol"/>
    </w:rPr>
  </w:style>
  <w:style w:type="character" w:customStyle="1" w:styleId="ListLabel4021">
    <w:name w:val="ListLabel 4021"/>
    <w:qFormat/>
    <w:rPr>
      <w:rFonts w:cs="OpenSymbol"/>
      <w:sz w:val="22"/>
    </w:rPr>
  </w:style>
  <w:style w:type="character" w:customStyle="1" w:styleId="ListLabel4022">
    <w:name w:val="ListLabel 4022"/>
    <w:qFormat/>
    <w:rPr>
      <w:rFonts w:cs="OpenSymbol"/>
    </w:rPr>
  </w:style>
  <w:style w:type="character" w:customStyle="1" w:styleId="ListLabel4023">
    <w:name w:val="ListLabel 4023"/>
    <w:qFormat/>
    <w:rPr>
      <w:rFonts w:cs="OpenSymbol"/>
    </w:rPr>
  </w:style>
  <w:style w:type="character" w:customStyle="1" w:styleId="ListLabel4024">
    <w:name w:val="ListLabel 4024"/>
    <w:qFormat/>
    <w:rPr>
      <w:rFonts w:cs="OpenSymbol"/>
    </w:rPr>
  </w:style>
  <w:style w:type="character" w:customStyle="1" w:styleId="ListLabel4025">
    <w:name w:val="ListLabel 4025"/>
    <w:qFormat/>
    <w:rPr>
      <w:rFonts w:cs="OpenSymbol"/>
    </w:rPr>
  </w:style>
  <w:style w:type="character" w:customStyle="1" w:styleId="ListLabel4026">
    <w:name w:val="ListLabel 4026"/>
    <w:qFormat/>
    <w:rPr>
      <w:rFonts w:cs="OpenSymbol"/>
    </w:rPr>
  </w:style>
  <w:style w:type="character" w:customStyle="1" w:styleId="ListLabel4027">
    <w:name w:val="ListLabel 4027"/>
    <w:qFormat/>
    <w:rPr>
      <w:rFonts w:cs="OpenSymbol"/>
    </w:rPr>
  </w:style>
  <w:style w:type="character" w:customStyle="1" w:styleId="ListLabel4028">
    <w:name w:val="ListLabel 4028"/>
    <w:qFormat/>
    <w:rPr>
      <w:rFonts w:cs="OpenSymbol"/>
    </w:rPr>
  </w:style>
  <w:style w:type="character" w:customStyle="1" w:styleId="ListLabel4029">
    <w:name w:val="ListLabel 4029"/>
    <w:qFormat/>
    <w:rPr>
      <w:rFonts w:cs="OpenSymbol"/>
    </w:rPr>
  </w:style>
  <w:style w:type="character" w:customStyle="1" w:styleId="TekstdymkaZnak">
    <w:name w:val="Tekst dymka Znak"/>
    <w:qFormat/>
    <w:rPr>
      <w:rFonts w:ascii="Segoe UI" w:hAnsi="Segoe UI" w:cs="Mangal"/>
      <w:color w:val="00000A"/>
      <w:sz w:val="18"/>
      <w:szCs w:val="16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awartotabeli">
    <w:name w:val="Zawartość tabeli"/>
    <w:basedOn w:val="Normalny"/>
    <w:qFormat/>
  </w:style>
  <w:style w:type="paragraph" w:styleId="Tekstdymka">
    <w:name w:val="Balloon Text"/>
    <w:basedOn w:val="Normalny"/>
    <w:qFormat/>
    <w:rPr>
      <w:rFonts w:ascii="Segoe UI" w:hAnsi="Segoe UI" w:cs="Mangal"/>
      <w:sz w:val="18"/>
      <w:szCs w:val="16"/>
    </w:rPr>
  </w:style>
  <w:style w:type="paragraph" w:customStyle="1" w:styleId="Nagwektabeli">
    <w:name w:val="Nagłówek tabeli"/>
    <w:basedOn w:val="Zawartotabeli"/>
    <w:qFormat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F7ED7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F7ED7"/>
    <w:rPr>
      <w:rFonts w:eastAsia="SimSun;宋体" w:cs="Mangal"/>
      <w:color w:val="00000A"/>
      <w:kern w:val="2"/>
      <w:sz w:val="16"/>
      <w:szCs w:val="14"/>
    </w:rPr>
  </w:style>
  <w:style w:type="paragraph" w:styleId="Stopka">
    <w:name w:val="footer"/>
    <w:basedOn w:val="Normalny"/>
    <w:link w:val="StopkaZnak"/>
    <w:uiPriority w:val="99"/>
    <w:unhideWhenUsed/>
    <w:rsid w:val="005F7E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7ED7"/>
    <w:rPr>
      <w:rFonts w:eastAsia="SimSun;宋体" w:cs="Mangal"/>
      <w:color w:val="00000A"/>
      <w:kern w:val="2"/>
      <w:sz w:val="24"/>
      <w:szCs w:val="21"/>
    </w:rPr>
  </w:style>
  <w:style w:type="table" w:styleId="Tabela-Siatka">
    <w:name w:val="Table Grid"/>
    <w:basedOn w:val="Standardowy"/>
    <w:uiPriority w:val="39"/>
    <w:rsid w:val="0021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5364-D418-4658-B338-B0F66A25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1273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Harasymiuk</dc:creator>
  <dc:description/>
  <cp:lastModifiedBy>Paweł Kalinowski</cp:lastModifiedBy>
  <cp:revision>7</cp:revision>
  <cp:lastPrinted>2018-03-09T08:38:00Z</cp:lastPrinted>
  <dcterms:created xsi:type="dcterms:W3CDTF">2020-01-20T14:21:00Z</dcterms:created>
  <dcterms:modified xsi:type="dcterms:W3CDTF">2020-01-31T07:38:00Z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